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CC4D26">
      <w:pPr>
        <w:pStyle w:val="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jc w:val="both"/>
        <w:textAlignment w:val="auto"/>
        <w:rPr>
          <w:rFonts w:hint="eastAsia" w:ascii="方正小标宋简体" w:hAnsi="仿宋_GB2312" w:eastAsia="方正小标宋简体" w:cs="仿宋_GB2312"/>
          <w:color w:val="auto"/>
          <w:sz w:val="44"/>
          <w:szCs w:val="44"/>
          <w:shd w:val="clear" w:color="auto" w:fill="FFFFFF"/>
        </w:rPr>
      </w:pPr>
    </w:p>
    <w:p w14:paraId="2FC85AB7">
      <w:pPr>
        <w:keepNext w:val="0"/>
        <w:keepLines w:val="0"/>
        <w:pageBreakBefore w:val="0"/>
        <w:widowControl w:val="0"/>
        <w:kinsoku/>
        <w:wordWrap/>
        <w:overflowPunct/>
        <w:topLinePunct w:val="0"/>
        <w:autoSpaceDE/>
        <w:autoSpaceDN/>
        <w:bidi w:val="0"/>
        <w:adjustRightInd/>
        <w:snapToGrid/>
        <w:spacing w:line="640" w:lineRule="exact"/>
        <w:jc w:val="both"/>
        <w:textAlignment w:val="auto"/>
        <w:outlineLvl w:val="9"/>
        <w:rPr>
          <w:rFonts w:hint="eastAsia" w:ascii="仿宋_GB2312"/>
          <w:lang w:val="en-US" w:eastAsia="zh-CN"/>
        </w:rPr>
      </w:pPr>
    </w:p>
    <w:p w14:paraId="6B2F07CC">
      <w:pPr>
        <w:keepNext w:val="0"/>
        <w:keepLines w:val="0"/>
        <w:pageBreakBefore w:val="0"/>
        <w:widowControl w:val="0"/>
        <w:kinsoku/>
        <w:wordWrap/>
        <w:overflowPunct/>
        <w:topLinePunct w:val="0"/>
        <w:autoSpaceDE/>
        <w:autoSpaceDN/>
        <w:bidi w:val="0"/>
        <w:adjustRightInd/>
        <w:snapToGrid/>
        <w:spacing w:line="640" w:lineRule="exact"/>
        <w:jc w:val="both"/>
        <w:textAlignment w:val="auto"/>
        <w:outlineLvl w:val="9"/>
        <w:rPr>
          <w:rFonts w:hint="eastAsia" w:ascii="仿宋_GB2312"/>
          <w:lang w:val="en-US" w:eastAsia="zh-CN"/>
        </w:rPr>
      </w:pPr>
    </w:p>
    <w:p w14:paraId="3E77A2AB">
      <w:pPr>
        <w:rPr>
          <w:rFonts w:hint="eastAsia"/>
          <w:lang w:val="en-US" w:eastAsia="zh-CN"/>
        </w:rPr>
      </w:pPr>
    </w:p>
    <w:p w14:paraId="0F87610F">
      <w:pPr>
        <w:rPr>
          <w:rFonts w:hint="eastAsia"/>
          <w:lang w:val="en-US" w:eastAsia="zh-CN"/>
        </w:rPr>
      </w:pPr>
    </w:p>
    <w:p w14:paraId="05121428">
      <w:pPr>
        <w:rPr>
          <w:rFonts w:hint="eastAsia"/>
          <w:lang w:val="en-US" w:eastAsia="zh-CN"/>
        </w:rPr>
      </w:pPr>
    </w:p>
    <w:p w14:paraId="57A00F31">
      <w:pPr>
        <w:rPr>
          <w:rFonts w:hint="eastAsia"/>
          <w:lang w:val="en-US" w:eastAsia="zh-CN"/>
        </w:rPr>
      </w:pPr>
      <w:bookmarkStart w:id="0" w:name="_GoBack"/>
      <w:bookmarkEnd w:id="0"/>
    </w:p>
    <w:p w14:paraId="0E36CD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方正小标宋简体" w:hAnsi="方正小标宋简体" w:eastAsia="方正小标宋简体" w:cs="方正小标宋简体"/>
          <w:b w:val="0"/>
          <w:bCs w:val="0"/>
          <w:i w:val="0"/>
          <w:iCs w:val="0"/>
          <w:caps w:val="0"/>
          <w:color w:val="000000" w:themeColor="text1"/>
          <w:spacing w:val="0"/>
          <w:sz w:val="44"/>
          <w:szCs w:val="44"/>
          <w:shd w:val="clear" w:fill="FFFFFF"/>
          <w14:textFill>
            <w14:solidFill>
              <w14:schemeClr w14:val="tx1"/>
            </w14:solidFill>
          </w14:textFill>
        </w:rPr>
      </w:pPr>
      <w:r>
        <w:rPr>
          <w:rFonts w:hint="eastAsia" w:ascii="方正小标宋简体" w:hAnsi="方正小标宋简体" w:eastAsia="方正小标宋简体" w:cs="方正小标宋简体"/>
          <w:b w:val="0"/>
          <w:bCs w:val="0"/>
          <w:i w:val="0"/>
          <w:iCs w:val="0"/>
          <w:caps w:val="0"/>
          <w:color w:val="000000" w:themeColor="text1"/>
          <w:spacing w:val="0"/>
          <w:sz w:val="44"/>
          <w:szCs w:val="44"/>
          <w:shd w:val="clear" w:fill="FFFFFF"/>
          <w14:textFill>
            <w14:solidFill>
              <w14:schemeClr w14:val="tx1"/>
            </w14:solidFill>
          </w14:textFill>
        </w:rPr>
        <w:t>关于开展202</w:t>
      </w:r>
      <w:r>
        <w:rPr>
          <w:rFonts w:hint="eastAsia" w:ascii="方正小标宋简体" w:hAnsi="方正小标宋简体" w:eastAsia="方正小标宋简体" w:cs="方正小标宋简体"/>
          <w:b w:val="0"/>
          <w:bCs w:val="0"/>
          <w:i w:val="0"/>
          <w:iCs w:val="0"/>
          <w:caps w:val="0"/>
          <w:color w:val="000000" w:themeColor="text1"/>
          <w:spacing w:val="0"/>
          <w:sz w:val="44"/>
          <w:szCs w:val="44"/>
          <w:shd w:val="clear" w:fill="FFFFFF"/>
          <w:lang w:val="en-US" w:eastAsia="zh-CN"/>
          <w14:textFill>
            <w14:solidFill>
              <w14:schemeClr w14:val="tx1"/>
            </w14:solidFill>
          </w14:textFill>
        </w:rPr>
        <w:t>5</w:t>
      </w:r>
      <w:r>
        <w:rPr>
          <w:rFonts w:hint="eastAsia" w:ascii="方正小标宋简体" w:hAnsi="方正小标宋简体" w:eastAsia="方正小标宋简体" w:cs="方正小标宋简体"/>
          <w:b w:val="0"/>
          <w:bCs w:val="0"/>
          <w:i w:val="0"/>
          <w:iCs w:val="0"/>
          <w:caps w:val="0"/>
          <w:color w:val="000000" w:themeColor="text1"/>
          <w:spacing w:val="0"/>
          <w:sz w:val="44"/>
          <w:szCs w:val="44"/>
          <w:shd w:val="clear" w:fill="FFFFFF"/>
          <w14:textFill>
            <w14:solidFill>
              <w14:schemeClr w14:val="tx1"/>
            </w14:solidFill>
          </w14:textFill>
        </w:rPr>
        <w:t>年度住房公积金缴存基数</w:t>
      </w:r>
    </w:p>
    <w:p w14:paraId="57899A9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方正小标宋简体" w:hAnsi="方正小标宋简体" w:eastAsia="方正小标宋简体" w:cs="方正小标宋简体"/>
          <w:w w:val="80"/>
          <w:kern w:val="0"/>
          <w:sz w:val="44"/>
          <w:szCs w:val="44"/>
          <w:lang w:eastAsia="zh-CN"/>
        </w:rPr>
      </w:pPr>
      <w:r>
        <w:rPr>
          <w:rFonts w:hint="eastAsia" w:ascii="方正小标宋简体" w:hAnsi="方正小标宋简体" w:eastAsia="方正小标宋简体" w:cs="方正小标宋简体"/>
          <w:b w:val="0"/>
          <w:bCs w:val="0"/>
          <w:i w:val="0"/>
          <w:iCs w:val="0"/>
          <w:caps w:val="0"/>
          <w:color w:val="000000" w:themeColor="text1"/>
          <w:spacing w:val="0"/>
          <w:sz w:val="44"/>
          <w:szCs w:val="44"/>
          <w:shd w:val="clear" w:fill="FFFFFF"/>
          <w14:textFill>
            <w14:solidFill>
              <w14:schemeClr w14:val="tx1"/>
            </w14:solidFill>
          </w14:textFill>
        </w:rPr>
        <w:t>调整工作的通知</w:t>
      </w:r>
    </w:p>
    <w:p w14:paraId="1CA3FCD2">
      <w:pPr>
        <w:keepNext w:val="0"/>
        <w:keepLines w:val="0"/>
        <w:pageBreakBefore w:val="0"/>
        <w:widowControl w:val="0"/>
        <w:kinsoku/>
        <w:wordWrap/>
        <w:overflowPunct/>
        <w:topLinePunct w:val="0"/>
        <w:autoSpaceDE/>
        <w:autoSpaceDN/>
        <w:bidi w:val="0"/>
        <w:adjustRightInd/>
        <w:snapToGrid/>
        <w:spacing w:before="344" w:beforeLines="110" w:line="640" w:lineRule="exact"/>
        <w:ind w:left="2940" w:hanging="4480" w:hangingChars="1400"/>
        <w:jc w:val="center"/>
        <w:textAlignment w:val="auto"/>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公积金</w:t>
      </w:r>
      <w:r>
        <w:rPr>
          <w:rFonts w:hint="eastAsia" w:ascii="方正仿宋_GB2312" w:hAnsi="方正仿宋_GB2312" w:eastAsia="方正仿宋_GB2312" w:cs="方正仿宋_GB2312"/>
          <w:sz w:val="32"/>
          <w:szCs w:val="32"/>
          <w:lang w:val="en-US" w:eastAsia="zh-CN"/>
        </w:rPr>
        <w:t>委</w:t>
      </w:r>
      <w:r>
        <w:rPr>
          <w:rFonts w:hint="eastAsia" w:ascii="方正仿宋_GB2312" w:hAnsi="方正仿宋_GB2312" w:eastAsia="方正仿宋_GB2312" w:cs="方正仿宋_GB2312"/>
          <w:color w:val="000000"/>
          <w:sz w:val="32"/>
          <w:szCs w:val="32"/>
        </w:rPr>
        <w:t>〔20</w:t>
      </w:r>
      <w:r>
        <w:rPr>
          <w:rFonts w:hint="eastAsia" w:ascii="方正仿宋_GB2312" w:hAnsi="方正仿宋_GB2312" w:eastAsia="方正仿宋_GB2312" w:cs="方正仿宋_GB2312"/>
          <w:color w:val="000000"/>
          <w:sz w:val="32"/>
          <w:szCs w:val="32"/>
          <w:lang w:val="en-US" w:eastAsia="zh-CN"/>
        </w:rPr>
        <w:t>25</w:t>
      </w:r>
      <w:r>
        <w:rPr>
          <w:rFonts w:hint="eastAsia" w:ascii="方正仿宋_GB2312" w:hAnsi="方正仿宋_GB2312" w:eastAsia="方正仿宋_GB2312" w:cs="方正仿宋_GB2312"/>
          <w:color w:val="000000"/>
          <w:sz w:val="32"/>
          <w:szCs w:val="32"/>
        </w:rPr>
        <w:t>〕</w:t>
      </w:r>
      <w:r>
        <w:rPr>
          <w:rFonts w:hint="eastAsia" w:ascii="方正仿宋_GB2312" w:hAnsi="方正仿宋_GB2312" w:eastAsia="方正仿宋_GB2312" w:cs="方正仿宋_GB2312"/>
          <w:color w:val="000000"/>
          <w:sz w:val="32"/>
          <w:szCs w:val="32"/>
          <w:lang w:val="en-US" w:eastAsia="zh-CN"/>
        </w:rPr>
        <w:t>5</w:t>
      </w:r>
      <w:r>
        <w:rPr>
          <w:rFonts w:hint="eastAsia" w:ascii="方正仿宋_GB2312" w:hAnsi="方正仿宋_GB2312" w:eastAsia="方正仿宋_GB2312" w:cs="方正仿宋_GB2312"/>
          <w:sz w:val="32"/>
          <w:szCs w:val="32"/>
        </w:rPr>
        <w:t>号</w:t>
      </w:r>
    </w:p>
    <w:p w14:paraId="169ACCBE">
      <w:pPr>
        <w:spacing w:line="480" w:lineRule="exact"/>
        <w:jc w:val="center"/>
        <w:rPr>
          <w:rFonts w:hint="eastAsia" w:ascii="方正小标宋简体" w:hAnsi="华文中宋" w:eastAsia="方正小标宋简体"/>
          <w:b/>
          <w:sz w:val="32"/>
          <w:szCs w:val="32"/>
        </w:rPr>
      </w:pPr>
    </w:p>
    <w:p w14:paraId="63F859A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150" w:afterAutospacing="0" w:line="640" w:lineRule="exact"/>
        <w:ind w:left="0" w:right="0"/>
        <w:jc w:val="left"/>
        <w:textAlignment w:val="auto"/>
        <w:rPr>
          <w:color w:val="000000" w:themeColor="text1"/>
          <w14:textFill>
            <w14:solidFill>
              <w14:schemeClr w14:val="tx1"/>
            </w14:solidFill>
          </w14:textFill>
        </w:rPr>
      </w:pPr>
      <w:r>
        <w:rPr>
          <w:rFonts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各住房公积金缴存单位、缴存人：</w:t>
      </w:r>
    </w:p>
    <w:p w14:paraId="523579D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both"/>
        <w:textAlignment w:val="auto"/>
        <w:rPr>
          <w:color w:val="000000" w:themeColor="text1"/>
          <w14:textFill>
            <w14:solidFill>
              <w14:schemeClr w14:val="tx1"/>
            </w14:solidFill>
          </w14:textFill>
        </w:rPr>
      </w:pP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按照《住房公积金管理条例》(中华人民共和国国务院令第350号)和《亳州市人民政府办公室关于进一步加强住房公积金管理的通知》（亳政办秘〔2017〕337号）文件精神，市住房公积金管理中心将开展202</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5</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年度住房公积金基数调整工作，具体有关事项通知如下：</w:t>
      </w:r>
    </w:p>
    <w:p w14:paraId="48796B5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left"/>
        <w:textAlignment w:val="auto"/>
        <w:rPr>
          <w:color w:val="000000" w:themeColor="text1"/>
          <w14:textFill>
            <w14:solidFill>
              <w14:schemeClr w14:val="tx1"/>
            </w14:solidFill>
          </w14:textFill>
        </w:rPr>
      </w:pPr>
      <w:r>
        <w:rPr>
          <w:rFonts w:ascii="黑体" w:hAnsi="宋体" w:eastAsia="黑体" w:cs="黑体"/>
          <w:i w:val="0"/>
          <w:iCs w:val="0"/>
          <w:caps w:val="0"/>
          <w:color w:val="000000" w:themeColor="text1"/>
          <w:spacing w:val="0"/>
          <w:sz w:val="32"/>
          <w:szCs w:val="32"/>
          <w:shd w:val="clear" w:fill="FFFFFF"/>
          <w14:textFill>
            <w14:solidFill>
              <w14:schemeClr w14:val="tx1"/>
            </w14:solidFill>
          </w14:textFill>
        </w:rPr>
        <w:t>一、基数调整范围</w:t>
      </w:r>
    </w:p>
    <w:p w14:paraId="1B75EAB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both"/>
        <w:textAlignment w:val="auto"/>
        <w:rPr>
          <w:color w:val="000000" w:themeColor="text1"/>
          <w14:textFill>
            <w14:solidFill>
              <w14:schemeClr w14:val="tx1"/>
            </w14:solidFill>
          </w14:textFill>
        </w:rPr>
      </w:pP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我市范围内正常缴存住房公积金的单位及灵活就业人员。市本级及谯城区基数调整工作由市住房公积金管理中心负责，各县基数调整工作由该县住房公积金管理部负责（以下统称住房公积金管理机构）。</w:t>
      </w:r>
    </w:p>
    <w:p w14:paraId="13416EA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left"/>
        <w:textAlignment w:val="auto"/>
        <w:rPr>
          <w:color w:val="000000" w:themeColor="text1"/>
          <w14:textFill>
            <w14:solidFill>
              <w14:schemeClr w14:val="tx1"/>
            </w14:solidFill>
          </w14:textFill>
        </w:rPr>
      </w:pPr>
      <w:r>
        <w:rPr>
          <w:rFonts w:hint="eastAsia" w:ascii="黑体" w:hAnsi="宋体" w:eastAsia="黑体" w:cs="黑体"/>
          <w:i w:val="0"/>
          <w:iCs w:val="0"/>
          <w:caps w:val="0"/>
          <w:color w:val="000000" w:themeColor="text1"/>
          <w:spacing w:val="0"/>
          <w:sz w:val="32"/>
          <w:szCs w:val="32"/>
          <w:shd w:val="clear" w:fill="FFFFFF"/>
          <w14:textFill>
            <w14:solidFill>
              <w14:schemeClr w14:val="tx1"/>
            </w14:solidFill>
          </w14:textFill>
        </w:rPr>
        <w:t>二、基数调整时限</w:t>
      </w:r>
    </w:p>
    <w:p w14:paraId="24324B7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left"/>
        <w:textAlignment w:val="auto"/>
        <w:rPr>
          <w:color w:val="000000" w:themeColor="text1"/>
          <w14:textFill>
            <w14:solidFill>
              <w14:schemeClr w14:val="tx1"/>
            </w14:solidFill>
          </w14:textFill>
        </w:rPr>
      </w:pP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202</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5</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年</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7</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月</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31</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日至</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9</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月</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30</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日。</w:t>
      </w:r>
    </w:p>
    <w:p w14:paraId="3E694FD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left"/>
        <w:textAlignment w:val="auto"/>
        <w:rPr>
          <w:color w:val="000000" w:themeColor="text1"/>
          <w14:textFill>
            <w14:solidFill>
              <w14:schemeClr w14:val="tx1"/>
            </w14:solidFill>
          </w14:textFill>
        </w:rPr>
      </w:pPr>
      <w:r>
        <w:rPr>
          <w:rFonts w:hint="eastAsia" w:ascii="黑体" w:hAnsi="宋体" w:eastAsia="黑体" w:cs="黑体"/>
          <w:i w:val="0"/>
          <w:iCs w:val="0"/>
          <w:caps w:val="0"/>
          <w:color w:val="000000" w:themeColor="text1"/>
          <w:spacing w:val="0"/>
          <w:sz w:val="32"/>
          <w:szCs w:val="32"/>
          <w:shd w:val="clear" w:fill="FFFFFF"/>
          <w14:textFill>
            <w14:solidFill>
              <w14:schemeClr w14:val="tx1"/>
            </w14:solidFill>
          </w14:textFill>
        </w:rPr>
        <w:t>三</w:t>
      </w:r>
      <w:r>
        <w:rPr>
          <w:rFonts w:hint="eastAsia" w:ascii="黑体" w:hAnsi="宋体" w:eastAsia="黑体" w:cs="黑体"/>
          <w:i w:val="0"/>
          <w:iCs w:val="0"/>
          <w:caps w:val="0"/>
          <w:color w:val="000000" w:themeColor="text1"/>
          <w:spacing w:val="0"/>
          <w:sz w:val="36"/>
          <w:szCs w:val="36"/>
          <w:shd w:val="clear" w:fill="FFFFFF"/>
          <w14:textFill>
            <w14:solidFill>
              <w14:schemeClr w14:val="tx1"/>
            </w14:solidFill>
          </w14:textFill>
        </w:rPr>
        <w:t>、基数调整内</w:t>
      </w:r>
      <w:r>
        <w:rPr>
          <w:rFonts w:hint="eastAsia" w:ascii="黑体" w:hAnsi="宋体" w:eastAsia="黑体" w:cs="黑体"/>
          <w:i w:val="0"/>
          <w:iCs w:val="0"/>
          <w:caps w:val="0"/>
          <w:color w:val="000000" w:themeColor="text1"/>
          <w:spacing w:val="0"/>
          <w:sz w:val="32"/>
          <w:szCs w:val="32"/>
          <w:shd w:val="clear" w:fill="FFFFFF"/>
          <w14:textFill>
            <w14:solidFill>
              <w14:schemeClr w14:val="tx1"/>
            </w14:solidFill>
          </w14:textFill>
        </w:rPr>
        <w:t>容</w:t>
      </w:r>
    </w:p>
    <w:p w14:paraId="7F54CBF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both"/>
        <w:textAlignment w:val="auto"/>
        <w:rPr>
          <w:color w:val="000000" w:themeColor="text1"/>
          <w14:textFill>
            <w14:solidFill>
              <w14:schemeClr w14:val="tx1"/>
            </w14:solidFill>
          </w14:textFill>
        </w:rPr>
      </w:pPr>
      <w:r>
        <w:rPr>
          <w:rFonts w:ascii="楷体" w:hAnsi="楷体" w:eastAsia="楷体" w:cs="楷体"/>
          <w:i w:val="0"/>
          <w:iCs w:val="0"/>
          <w:caps w:val="0"/>
          <w:color w:val="000000" w:themeColor="text1"/>
          <w:spacing w:val="0"/>
          <w:sz w:val="32"/>
          <w:szCs w:val="32"/>
          <w:shd w:val="clear" w:fill="FFFFFF"/>
          <w14:textFill>
            <w14:solidFill>
              <w14:schemeClr w14:val="tx1"/>
            </w14:solidFill>
          </w14:textFill>
        </w:rPr>
        <w:t>（一）缴存职工个人基本信息。</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包括姓名、身份证号、联系电话、调整前缴存基数、调整后缴存基数及月缴存总额、缴存比例等。</w:t>
      </w:r>
    </w:p>
    <w:p w14:paraId="7F52CCF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both"/>
        <w:textAlignment w:val="auto"/>
        <w:rPr>
          <w:color w:val="000000" w:themeColor="text1"/>
          <w14:textFill>
            <w14:solidFill>
              <w14:schemeClr w14:val="tx1"/>
            </w14:solidFill>
          </w14:textFill>
        </w:rPr>
      </w:pPr>
      <w:r>
        <w:rPr>
          <w:rFonts w:hint="eastAsia" w:ascii="楷体" w:hAnsi="楷体" w:eastAsia="楷体" w:cs="楷体"/>
          <w:i w:val="0"/>
          <w:iCs w:val="0"/>
          <w:caps w:val="0"/>
          <w:color w:val="000000" w:themeColor="text1"/>
          <w:spacing w:val="0"/>
          <w:sz w:val="32"/>
          <w:szCs w:val="32"/>
          <w:shd w:val="clear" w:fill="FFFFFF"/>
          <w14:textFill>
            <w14:solidFill>
              <w14:schemeClr w14:val="tx1"/>
            </w14:solidFill>
          </w14:textFill>
        </w:rPr>
        <w:t>（二）缴存基数范围及缴存额。</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职工住房公积金缴存基数为职工上一年度月平均工资（即职工202</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4</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年度工资总额除以实际发放月数）。调整后的缴存基数不得超过我市统计部门公布的202</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4</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年度职工月平均工资的3倍，结合202</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4</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年度我市城镇非私营单位职工社会平均工资水平（</w:t>
      </w:r>
      <w:r>
        <w:rPr>
          <w:rFonts w:hint="eastAsia" w:ascii="方正仿宋_GBK" w:hAnsi="方正仿宋_GBK" w:eastAsia="方正仿宋_GBK" w:cs="方正仿宋_GBK"/>
          <w:b/>
          <w:bCs/>
          <w:i w:val="0"/>
          <w:iCs w:val="0"/>
          <w:caps w:val="0"/>
          <w:color w:val="000000" w:themeColor="text1"/>
          <w:spacing w:val="0"/>
          <w:sz w:val="32"/>
          <w:szCs w:val="32"/>
          <w:shd w:val="clear" w:fill="FFFFFF"/>
          <w:lang w:val="en-US" w:eastAsia="zh-CN"/>
          <w14:textFill>
            <w14:solidFill>
              <w14:schemeClr w14:val="tx1"/>
            </w14:solidFill>
          </w14:textFill>
        </w:rPr>
        <w:t>88523</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元/年人），按照我市住房公积金最高缴存比例12%测算，202</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5</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年度亳州市住房公积金最高月缴存基数为</w:t>
      </w:r>
      <w:r>
        <w:rPr>
          <w:rFonts w:hint="eastAsia" w:ascii="方正仿宋_GBK" w:hAnsi="方正仿宋_GBK" w:eastAsia="方正仿宋_GBK" w:cs="方正仿宋_GBK"/>
          <w:b/>
          <w:bCs/>
          <w:i w:val="0"/>
          <w:iCs w:val="0"/>
          <w:caps w:val="0"/>
          <w:color w:val="000000" w:themeColor="text1"/>
          <w:spacing w:val="0"/>
          <w:sz w:val="32"/>
          <w:szCs w:val="32"/>
          <w:shd w:val="clear" w:fill="FFFFFF"/>
          <w:lang w:val="en-US" w:eastAsia="zh-CN"/>
          <w14:textFill>
            <w14:solidFill>
              <w14:schemeClr w14:val="tx1"/>
            </w14:solidFill>
          </w14:textFill>
        </w:rPr>
        <w:t>22125</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元，最高个人月缴存限额为</w:t>
      </w:r>
      <w:r>
        <w:rPr>
          <w:rFonts w:hint="eastAsia" w:ascii="方正仿宋_GBK" w:hAnsi="方正仿宋_GBK" w:eastAsia="方正仿宋_GBK" w:cs="方正仿宋_GBK"/>
          <w:b/>
          <w:bCs/>
          <w:i w:val="0"/>
          <w:iCs w:val="0"/>
          <w:caps w:val="0"/>
          <w:color w:val="000000" w:themeColor="text1"/>
          <w:spacing w:val="0"/>
          <w:sz w:val="32"/>
          <w:szCs w:val="32"/>
          <w:shd w:val="clear" w:fill="FFFFFF"/>
          <w:lang w:val="en-US" w:eastAsia="zh-CN"/>
          <w14:textFill>
            <w14:solidFill>
              <w14:schemeClr w14:val="tx1"/>
            </w14:solidFill>
          </w14:textFill>
        </w:rPr>
        <w:t>2655</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元，职工所在单位以相应金额给予补贴。灵活就业人员可提供上一年度月收入证明申请调整。</w:t>
      </w:r>
    </w:p>
    <w:p w14:paraId="7313ACA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both"/>
        <w:textAlignment w:val="auto"/>
        <w:rPr>
          <w:color w:val="000000" w:themeColor="text1"/>
          <w14:textFill>
            <w14:solidFill>
              <w14:schemeClr w14:val="tx1"/>
            </w14:solidFill>
          </w14:textFill>
        </w:rPr>
      </w:pP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职工月平均工资（实行年薪制的按月均分）未超过上述限额的，以实际月平均工资作为缴存基数；超过上述限额的，以该限额作为缴存基数，杜绝超限额缴存住房公积金。最低月缴存额不变。</w:t>
      </w:r>
    </w:p>
    <w:p w14:paraId="39A403D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1" w:right="0" w:firstLine="640"/>
        <w:jc w:val="left"/>
        <w:textAlignment w:val="auto"/>
        <w:rPr>
          <w:color w:val="000000" w:themeColor="text1"/>
          <w14:textFill>
            <w14:solidFill>
              <w14:schemeClr w14:val="tx1"/>
            </w14:solidFill>
          </w14:textFill>
        </w:rPr>
      </w:pPr>
      <w:r>
        <w:rPr>
          <w:rFonts w:hint="eastAsia" w:ascii="黑体" w:hAnsi="宋体" w:eastAsia="黑体" w:cs="黑体"/>
          <w:i w:val="0"/>
          <w:iCs w:val="0"/>
          <w:caps w:val="0"/>
          <w:color w:val="000000" w:themeColor="text1"/>
          <w:spacing w:val="0"/>
          <w:sz w:val="32"/>
          <w:szCs w:val="32"/>
          <w:shd w:val="clear" w:fill="FFFFFF"/>
          <w14:textFill>
            <w14:solidFill>
              <w14:schemeClr w14:val="tx1"/>
            </w14:solidFill>
          </w14:textFill>
        </w:rPr>
        <w:t>四、申报方式</w:t>
      </w:r>
    </w:p>
    <w:p w14:paraId="229DCB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both"/>
        <w:textAlignment w:val="auto"/>
        <w:rPr>
          <w:color w:val="000000" w:themeColor="text1"/>
          <w14:textFill>
            <w14:solidFill>
              <w14:schemeClr w14:val="tx1"/>
            </w14:solidFill>
          </w14:textFill>
        </w:rPr>
      </w:pP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缴存单位需提供《202</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5</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年亳州市住房公积金缴存基数调整清册》等相关材料，按要求录入数据填报后，将纸质（加盖单位公章）材料送至所属住房公积金管理机构进行办理。住房公积金管理机构确认后，单位通过网上服务大厅进行基数变更申报。</w:t>
      </w:r>
    </w:p>
    <w:p w14:paraId="77F4420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textAlignment w:val="auto"/>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pP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相关文档可通过亳州市住房公积金管理中心官网或亳州住房公积金业务交流群获取（中心网站网址：</w: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"https://gjj.bozhou.gov.cn/News/show/about:blank"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Style w:val="10"/>
          <w:rFonts w:hint="eastAsia" w:ascii="方正仿宋_GBK" w:hAnsi="方正仿宋_GBK" w:eastAsia="方正仿宋_GBK" w:cs="方正仿宋_GBK"/>
          <w:i w:val="0"/>
          <w:iCs w:val="0"/>
          <w:caps w:val="0"/>
          <w:color w:val="000000" w:themeColor="text1"/>
          <w:spacing w:val="0"/>
          <w:sz w:val="32"/>
          <w:szCs w:val="32"/>
          <w:u w:val="none"/>
          <w:shd w:val="clear" w:fill="FFFFFF"/>
          <w14:textFill>
            <w14:solidFill>
              <w14:schemeClr w14:val="tx1"/>
            </w14:solidFill>
          </w14:textFill>
        </w:rPr>
        <w:t>gjj.bozhou.gov.cn</w: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；业务QQ群号，市本级及谯城区：</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828219898</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；涡阳县：332985280；蒙城县：52651224；利辛县：95669434）。</w:t>
      </w:r>
    </w:p>
    <w:p w14:paraId="5B5957D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left"/>
        <w:textAlignment w:val="auto"/>
        <w:rPr>
          <w:color w:val="000000" w:themeColor="text1"/>
          <w14:textFill>
            <w14:solidFill>
              <w14:schemeClr w14:val="tx1"/>
            </w14:solidFill>
          </w14:textFill>
        </w:rPr>
      </w:pPr>
      <w:r>
        <w:rPr>
          <w:rFonts w:hint="eastAsia" w:ascii="黑体" w:hAnsi="宋体" w:eastAsia="黑体" w:cs="黑体"/>
          <w:i w:val="0"/>
          <w:iCs w:val="0"/>
          <w:caps w:val="0"/>
          <w:color w:val="000000" w:themeColor="text1"/>
          <w:spacing w:val="0"/>
          <w:sz w:val="32"/>
          <w:szCs w:val="32"/>
          <w:shd w:val="clear" w:fill="FFFFFF"/>
          <w14:textFill>
            <w14:solidFill>
              <w14:schemeClr w14:val="tx1"/>
            </w14:solidFill>
          </w14:textFill>
        </w:rPr>
        <w:t>五、基数调整要求</w:t>
      </w:r>
    </w:p>
    <w:p w14:paraId="3A88EFD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both"/>
        <w:textAlignment w:val="auto"/>
        <w:rPr>
          <w:color w:val="000000" w:themeColor="text1"/>
          <w14:textFill>
            <w14:solidFill>
              <w14:schemeClr w14:val="tx1"/>
            </w14:solidFill>
          </w14:textFill>
        </w:rPr>
      </w:pP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一）各缴存单位应重视此项工作，明确一位领导同志负责，组织单位经办人等相关部门人员按期完成基数调整工作。职工基数调整工作均由职工调整当月所在单位负责。职工住房公积金缴存基数、缴存比例和月缴存额的核定涉及每位职工的切身利益，也是职工申请住房公积金提取和贷款的重要参考依据，请各单位按要求认真核定，确保数据的真实性和准确性。</w:t>
      </w:r>
    </w:p>
    <w:p w14:paraId="61EA5B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both"/>
        <w:textAlignment w:val="auto"/>
        <w:rPr>
          <w:color w:val="000000" w:themeColor="text1"/>
          <w14:textFill>
            <w14:solidFill>
              <w14:schemeClr w14:val="tx1"/>
            </w14:solidFill>
          </w14:textFill>
        </w:rPr>
      </w:pP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（二）住房公积金缴存基数、比例每年度调整一次，调整后除人员正常增减情况外，本年度不再进行基数调整。单位确有特殊情况的，须报所属住房公积金管理机构审批。</w:t>
      </w:r>
    </w:p>
    <w:p w14:paraId="14265A1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firstLine="640"/>
        <w:jc w:val="both"/>
        <w:textAlignment w:val="auto"/>
        <w:rPr>
          <w:color w:val="000000" w:themeColor="text1"/>
          <w14:textFill>
            <w14:solidFill>
              <w14:schemeClr w14:val="tx1"/>
            </w14:solidFill>
          </w14:textFill>
        </w:rPr>
      </w:pP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三）住房公积金管理机构将对上述基数调整材料进行审查，不符合要求的，缴存单位应依据住房公积金管理机构反馈的意见，修改后重新报送。未在规定时间内完成基数调整手续导致基数调整不合格，造成不良后果的，由缴存单位负责。</w:t>
      </w:r>
    </w:p>
    <w:p w14:paraId="23B889E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jc w:val="right"/>
        <w:textAlignment w:val="auto"/>
        <w:rPr>
          <w:color w:val="000000" w:themeColor="text1"/>
          <w14:textFill>
            <w14:solidFill>
              <w14:schemeClr w14:val="tx1"/>
            </w14:solidFill>
          </w14:textFill>
        </w:rPr>
      </w:pPr>
      <w:r>
        <w:rPr>
          <w:rFonts w:ascii="仿宋" w:hAnsi="仿宋" w:eastAsia="仿宋" w:cs="仿宋"/>
          <w:i w:val="0"/>
          <w:iCs w:val="0"/>
          <w:caps w:val="0"/>
          <w:color w:val="000000" w:themeColor="text1"/>
          <w:spacing w:val="0"/>
          <w:sz w:val="32"/>
          <w:szCs w:val="32"/>
          <w:shd w:val="clear" w:fill="FFFFFF"/>
          <w14:textFill>
            <w14:solidFill>
              <w14:schemeClr w14:val="tx1"/>
            </w14:solidFill>
          </w14:textFill>
        </w:rPr>
        <w:t>                         </w:t>
      </w:r>
    </w:p>
    <w:p w14:paraId="0EEA9D2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left="0" w:right="0"/>
        <w:jc w:val="right"/>
        <w:textAlignment w:val="auto"/>
        <w:rPr>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32"/>
          <w:szCs w:val="32"/>
          <w:shd w:val="clear" w:fill="FFFFFF"/>
          <w14:textFill>
            <w14:solidFill>
              <w14:schemeClr w14:val="tx1"/>
            </w14:solidFill>
          </w14:textFill>
        </w:rPr>
        <w:t>           </w:t>
      </w:r>
    </w:p>
    <w:p w14:paraId="1F575A4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150" w:afterAutospacing="0" w:line="640" w:lineRule="exact"/>
        <w:ind w:right="0" w:firstLine="4480" w:firstLineChars="1400"/>
        <w:jc w:val="left"/>
        <w:textAlignment w:val="auto"/>
        <w:rPr>
          <w:color w:val="000000" w:themeColor="text1"/>
          <w14:textFill>
            <w14:solidFill>
              <w14:schemeClr w14:val="tx1"/>
            </w14:solidFill>
          </w14:textFill>
        </w:rPr>
      </w:pP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202</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5</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年7月</w:t>
      </w:r>
      <w:r>
        <w:rPr>
          <w:rFonts w:hint="eastAsia" w:ascii="方正仿宋_GBK" w:hAnsi="方正仿宋_GBK" w:eastAsia="方正仿宋_GBK" w:cs="方正仿宋_GBK"/>
          <w:i w:val="0"/>
          <w:iCs w:val="0"/>
          <w:caps w:val="0"/>
          <w:color w:val="000000" w:themeColor="text1"/>
          <w:spacing w:val="0"/>
          <w:sz w:val="32"/>
          <w:szCs w:val="32"/>
          <w:shd w:val="clear" w:fill="FFFFFF"/>
          <w:lang w:val="en-US" w:eastAsia="zh-CN"/>
          <w14:textFill>
            <w14:solidFill>
              <w14:schemeClr w14:val="tx1"/>
            </w14:solidFill>
          </w14:textFill>
        </w:rPr>
        <w:t>31</w:t>
      </w:r>
      <w:r>
        <w:rPr>
          <w:rFonts w:hint="eastAsia" w:ascii="方正仿宋_GBK" w:hAnsi="方正仿宋_GBK" w:eastAsia="方正仿宋_GBK" w:cs="方正仿宋_GBK"/>
          <w:i w:val="0"/>
          <w:iCs w:val="0"/>
          <w:caps w:val="0"/>
          <w:color w:val="000000" w:themeColor="text1"/>
          <w:spacing w:val="0"/>
          <w:sz w:val="32"/>
          <w:szCs w:val="32"/>
          <w:shd w:val="clear" w:fill="FFFFFF"/>
          <w14:textFill>
            <w14:solidFill>
              <w14:schemeClr w14:val="tx1"/>
            </w14:solidFill>
          </w14:textFill>
        </w:rPr>
        <w:t>日</w:t>
      </w:r>
    </w:p>
    <w:p w14:paraId="722826CC">
      <w:pPr>
        <w:ind w:firstLine="4800" w:firstLineChars="1500"/>
        <w:rPr>
          <w:rFonts w:hint="eastAsia" w:ascii="方正仿宋_GB2312" w:hAnsi="方正仿宋_GB2312" w:eastAsia="方正仿宋_GB2312" w:cs="方正仿宋_GB2312"/>
          <w:kern w:val="0"/>
          <w:sz w:val="32"/>
          <w:szCs w:val="32"/>
          <w:lang w:val="en-US" w:eastAsia="zh-CN"/>
        </w:rPr>
      </w:pPr>
      <w:r>
        <w:rPr>
          <w:rFonts w:hint="eastAsia" w:ascii="方正仿宋_GB2312" w:hAnsi="方正仿宋_GB2312" w:eastAsia="方正仿宋_GB2312" w:cs="方正仿宋_GB2312"/>
          <w:kern w:val="0"/>
          <w:sz w:val="32"/>
          <w:szCs w:val="32"/>
          <w:lang w:val="en-US" w:eastAsia="zh-CN"/>
        </w:rPr>
        <w:t xml:space="preserve"> </w:t>
      </w:r>
    </w:p>
    <w:p w14:paraId="28FD6875">
      <w:pPr>
        <w:pStyle w:val="3"/>
        <w:rPr>
          <w:rFonts w:hint="eastAsia" w:ascii="仿宋" w:hAnsi="仿宋" w:eastAsia="仿宋" w:cs="仿宋"/>
          <w:kern w:val="0"/>
          <w:sz w:val="32"/>
          <w:szCs w:val="32"/>
          <w:lang w:val="en-US" w:eastAsia="zh-CN"/>
        </w:rPr>
      </w:pPr>
    </w:p>
    <w:p w14:paraId="466AD8B6">
      <w:pPr>
        <w:rPr>
          <w:rFonts w:hint="eastAsia" w:ascii="仿宋" w:hAnsi="仿宋" w:eastAsia="仿宋" w:cs="仿宋"/>
          <w:kern w:val="0"/>
          <w:sz w:val="32"/>
          <w:szCs w:val="32"/>
          <w:lang w:val="en-US" w:eastAsia="zh-CN"/>
        </w:rPr>
      </w:pPr>
    </w:p>
    <w:p w14:paraId="3A417BDF">
      <w:pPr>
        <w:pStyle w:val="3"/>
        <w:ind w:left="0" w:leftChars="0" w:firstLine="0" w:firstLineChars="0"/>
        <w:rPr>
          <w:rFonts w:hint="eastAsia" w:ascii="仿宋" w:hAnsi="仿宋" w:eastAsia="仿宋" w:cs="仿宋"/>
          <w:kern w:val="0"/>
          <w:sz w:val="32"/>
          <w:szCs w:val="32"/>
          <w:lang w:val="en-US" w:eastAsia="zh-CN"/>
        </w:rPr>
      </w:pPr>
    </w:p>
    <w:p w14:paraId="183EEAEE">
      <w:pPr>
        <w:pStyle w:val="15"/>
        <w:keepNext w:val="0"/>
        <w:keepLines w:val="0"/>
        <w:pageBreakBefore w:val="0"/>
        <w:widowControl w:val="0"/>
        <w:kinsoku/>
        <w:wordWrap/>
        <w:overflowPunct/>
        <w:topLinePunct w:val="0"/>
        <w:autoSpaceDE/>
        <w:autoSpaceDN/>
        <w:bidi w:val="0"/>
        <w:adjustRightInd/>
        <w:snapToGrid w:val="0"/>
        <w:spacing w:before="0" w:beforeAutospacing="0" w:after="0" w:afterAutospacing="0" w:line="570" w:lineRule="exact"/>
        <w:jc w:val="center"/>
        <w:textAlignment w:val="auto"/>
        <w:rPr>
          <w:rFonts w:hint="default" w:ascii="Times New Roman" w:hAnsi="Times New Roman" w:eastAsia="方正小标宋简体" w:cs="Times New Roman"/>
          <w:color w:val="000000" w:themeColor="text1"/>
          <w:sz w:val="44"/>
          <w:szCs w:val="44"/>
          <w:highlight w:val="none"/>
          <w14:textFill>
            <w14:solidFill>
              <w14:schemeClr w14:val="tx1"/>
            </w14:solidFill>
          </w14:textFill>
        </w:rPr>
      </w:pPr>
    </w:p>
    <w:p w14:paraId="2667913D">
      <w:pPr>
        <w:pStyle w:val="15"/>
        <w:keepNext w:val="0"/>
        <w:keepLines w:val="0"/>
        <w:pageBreakBefore w:val="0"/>
        <w:widowControl w:val="0"/>
        <w:kinsoku/>
        <w:wordWrap/>
        <w:overflowPunct/>
        <w:topLinePunct w:val="0"/>
        <w:autoSpaceDE/>
        <w:autoSpaceDN/>
        <w:bidi w:val="0"/>
        <w:adjustRightInd/>
        <w:snapToGrid w:val="0"/>
        <w:spacing w:before="0" w:beforeAutospacing="0" w:after="0" w:afterAutospacing="0" w:line="570" w:lineRule="exact"/>
        <w:jc w:val="center"/>
        <w:textAlignment w:val="auto"/>
        <w:rPr>
          <w:rFonts w:hint="default" w:ascii="Times New Roman" w:hAnsi="Times New Roman" w:eastAsia="方正小标宋简体" w:cs="Times New Roman"/>
          <w:color w:val="000000" w:themeColor="text1"/>
          <w:sz w:val="44"/>
          <w:szCs w:val="44"/>
          <w:highlight w:val="none"/>
          <w14:textFill>
            <w14:solidFill>
              <w14:schemeClr w14:val="tx1"/>
            </w14:solidFill>
          </w14:textFill>
        </w:rPr>
      </w:pPr>
    </w:p>
    <w:p w14:paraId="010A4BC1">
      <w:pPr>
        <w:rPr>
          <w:rFonts w:hint="default"/>
          <w:lang w:val="en-US" w:eastAsia="zh-CN"/>
        </w:rPr>
      </w:pPr>
    </w:p>
    <w:sectPr>
      <w:headerReference r:id="rId3" w:type="default"/>
      <w:footerReference r:id="rId4" w:type="default"/>
      <w:pgSz w:w="11906" w:h="16838"/>
      <w:pgMar w:top="1440" w:right="1800" w:bottom="1440" w:left="1800"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187A145-ACDF-40F8-839B-6CBCC1227F8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E07196AA-8958-42ED-8250-1B452633BA93}"/>
  </w:font>
  <w:font w:name="方正小标宋简体">
    <w:panose1 w:val="03000509000000000000"/>
    <w:charset w:val="86"/>
    <w:family w:val="auto"/>
    <w:pitch w:val="default"/>
    <w:sig w:usb0="00000001" w:usb1="080E0000" w:usb2="00000000" w:usb3="00000000" w:csb0="00040000" w:csb1="00000000"/>
    <w:embedRegular r:id="rId3" w:fontKey="{299607B0-E8D9-43D7-8C4C-0304302D9834}"/>
  </w:font>
  <w:font w:name="仿宋_GB2312">
    <w:panose1 w:val="02010609030101010101"/>
    <w:charset w:val="86"/>
    <w:family w:val="modern"/>
    <w:pitch w:val="default"/>
    <w:sig w:usb0="00000001" w:usb1="080E0000" w:usb2="00000000" w:usb3="00000000" w:csb0="00040000" w:csb1="00000000"/>
    <w:embedRegular r:id="rId4" w:fontKey="{C40827B5-C7EB-4002-84E8-259AF54C423E}"/>
  </w:font>
  <w:font w:name="方正仿宋_GB2312">
    <w:panose1 w:val="02000000000000000000"/>
    <w:charset w:val="86"/>
    <w:family w:val="auto"/>
    <w:pitch w:val="default"/>
    <w:sig w:usb0="A00002BF" w:usb1="184F6CFA" w:usb2="00000012" w:usb3="00000000" w:csb0="00040001" w:csb1="00000000"/>
    <w:embedRegular r:id="rId5" w:fontKey="{F2F67C02-1683-4225-9DF6-2B544CCAD65C}"/>
  </w:font>
  <w:font w:name="华文中宋">
    <w:panose1 w:val="02010600040101010101"/>
    <w:charset w:val="86"/>
    <w:family w:val="auto"/>
    <w:pitch w:val="default"/>
    <w:sig w:usb0="00000287" w:usb1="080F0000" w:usb2="00000000" w:usb3="00000000" w:csb0="0004009F" w:csb1="DFD70000"/>
    <w:embedRegular r:id="rId6" w:fontKey="{C65C0670-E60D-42B8-AB3E-410BF688C357}"/>
  </w:font>
  <w:font w:name="方正仿宋_GBK">
    <w:panose1 w:val="03000509000000000000"/>
    <w:charset w:val="86"/>
    <w:family w:val="auto"/>
    <w:pitch w:val="default"/>
    <w:sig w:usb0="00000001" w:usb1="080E0000" w:usb2="00000000" w:usb3="00000000" w:csb0="00040000" w:csb1="00000000"/>
    <w:embedRegular r:id="rId7" w:fontKey="{912808C8-5CFE-4BBA-95D4-AA67672F8C2E}"/>
  </w:font>
  <w:font w:name="楷体">
    <w:panose1 w:val="02010609060101010101"/>
    <w:charset w:val="86"/>
    <w:family w:val="auto"/>
    <w:pitch w:val="default"/>
    <w:sig w:usb0="800002BF" w:usb1="38CF7CFA" w:usb2="00000016" w:usb3="00000000" w:csb0="00040001" w:csb1="00000000"/>
    <w:embedRegular r:id="rId8" w:fontKey="{595F60FE-147B-4D3D-ABDD-39176A02EE3F}"/>
  </w:font>
  <w:font w:name="微软雅黑">
    <w:panose1 w:val="020B0503020204020204"/>
    <w:charset w:val="86"/>
    <w:family w:val="auto"/>
    <w:pitch w:val="default"/>
    <w:sig w:usb0="80000287" w:usb1="280F3C52" w:usb2="00000016" w:usb3="00000000" w:csb0="0004001F" w:csb1="00000000"/>
    <w:embedRegular r:id="rId9" w:fontKey="{F097F2BA-C1FB-44CE-8FA2-3EA526EC1614}"/>
  </w:font>
  <w:font w:name="仿宋">
    <w:panose1 w:val="02010609060101010101"/>
    <w:charset w:val="86"/>
    <w:family w:val="auto"/>
    <w:pitch w:val="default"/>
    <w:sig w:usb0="800002BF" w:usb1="38CF7CFA" w:usb2="00000016" w:usb3="00000000" w:csb0="00040001" w:csb1="00000000"/>
    <w:embedRegular r:id="rId10" w:fontKey="{F554678E-A502-49EB-985B-E4E178858CA3}"/>
  </w:font>
  <w:font w:name="WPSEMBED1">
    <w:panose1 w:val="02000000000000000000"/>
    <w:charset w:val="86"/>
    <w:family w:val="auto"/>
    <w:pitch w:val="default"/>
    <w:sig w:usb0="A00002BF" w:usb1="184F6CFA" w:usb2="00000012" w:usb3="00000000" w:csb0="00040001" w:csb1="00000000"/>
  </w:font>
  <w:font w:name="WPSEMBED2">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BF11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1"/>
                      </a:solidFill>
                      <a:ln w="6350">
                        <a:noFill/>
                      </a:ln>
                    </wps:spPr>
                    <wps:style>
                      <a:lnRef idx="0">
                        <a:schemeClr val="accent1"/>
                      </a:lnRef>
                      <a:fillRef idx="0">
                        <a:schemeClr val="accent1"/>
                      </a:fillRef>
                      <a:effectRef idx="0">
                        <a:schemeClr val="accent1"/>
                      </a:effectRef>
                      <a:fontRef idx="minor">
                        <a:schemeClr val="dk1"/>
                      </a:fontRef>
                    </wps:style>
                    <wps:txbx>
                      <w:txbxContent>
                        <w:p w14:paraId="56CE9C2B">
                          <w:pPr>
                            <w:pStyle w:val="4"/>
                            <w:rPr>
                              <w:rFonts w:cs="仿宋"/>
                              <w:sz w:val="18"/>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  \* MERGEFORMAT </w:instrText>
                          </w:r>
                          <w:r>
                            <w:rPr>
                              <w:rFonts w:hint="eastAsia" w:ascii="仿宋" w:hAnsi="仿宋" w:eastAsia="仿宋" w:cs="仿宋"/>
                              <w:sz w:val="32"/>
                              <w:szCs w:val="32"/>
                            </w:rPr>
                            <w:fldChar w:fldCharType="separate"/>
                          </w:r>
                          <w:r>
                            <w:rPr>
                              <w:rFonts w:hint="eastAsia" w:ascii="仿宋" w:hAnsi="仿宋" w:eastAsia="仿宋" w:cs="仿宋"/>
                              <w:sz w:val="32"/>
                              <w:szCs w:val="32"/>
                            </w:rPr>
                            <w:t>2</w:t>
                          </w:r>
                          <w:r>
                            <w:rPr>
                              <w:rFonts w:hint="eastAsia" w:ascii="仿宋" w:hAnsi="仿宋" w:eastAsia="仿宋" w:cs="仿宋"/>
                              <w:sz w:val="3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color="#FFFFFF [3212]" filled="t" stroked="f" coordsize="21600,21600" o:gfxdata="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r7wQHdEAAAAFAQAADwAAAAAAAAABACAAAAAiAAAAZHJz&#10;L2Rvd25yZXYueG1sUEsBAhQAFAAAAAgAh07iQDqY4wNEAgAAigQAAA4AAAAAAAAAAQAgAAAAIAEA&#10;AGRycy9lMm9Eb2MueG1sUEsFBgAAAAAGAAYAWQEAANYFAAAAAA==&#10;">
              <v:fill on="t" focussize="0,0"/>
              <v:stroke on="f" weight="0.5pt"/>
              <v:imagedata o:title=""/>
              <o:lock v:ext="edit" aspectratio="f"/>
              <v:textbox inset="0mm,0mm,0mm,0mm" style="mso-fit-shape-to-text:t;">
                <w:txbxContent>
                  <w:p w14:paraId="56CE9C2B">
                    <w:pPr>
                      <w:pStyle w:val="4"/>
                      <w:rPr>
                        <w:rFonts w:cs="仿宋"/>
                        <w:sz w:val="18"/>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  \* MERGEFORMAT </w:instrText>
                    </w:r>
                    <w:r>
                      <w:rPr>
                        <w:rFonts w:hint="eastAsia" w:ascii="仿宋" w:hAnsi="仿宋" w:eastAsia="仿宋" w:cs="仿宋"/>
                        <w:sz w:val="32"/>
                        <w:szCs w:val="32"/>
                      </w:rPr>
                      <w:fldChar w:fldCharType="separate"/>
                    </w:r>
                    <w:r>
                      <w:rPr>
                        <w:rFonts w:hint="eastAsia" w:ascii="仿宋" w:hAnsi="仿宋" w:eastAsia="仿宋" w:cs="仿宋"/>
                        <w:sz w:val="32"/>
                        <w:szCs w:val="32"/>
                      </w:rPr>
                      <w:t>2</w:t>
                    </w:r>
                    <w:r>
                      <w:rPr>
                        <w:rFonts w:hint="eastAsia" w:ascii="仿宋" w:hAnsi="仿宋" w:eastAsia="仿宋" w:cs="仿宋"/>
                        <w:sz w:val="32"/>
                        <w:szCs w:val="3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88D37">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3NTQ4ZjA0NzJlOGRmNDUwOGY4Y2E5NGNkYjdkODMifQ=="/>
  </w:docVars>
  <w:rsids>
    <w:rsidRoot w:val="00104C55"/>
    <w:rsid w:val="00076E22"/>
    <w:rsid w:val="000A10EA"/>
    <w:rsid w:val="00104C55"/>
    <w:rsid w:val="00123064"/>
    <w:rsid w:val="00193421"/>
    <w:rsid w:val="00271B89"/>
    <w:rsid w:val="0039776B"/>
    <w:rsid w:val="003D216A"/>
    <w:rsid w:val="00417F1F"/>
    <w:rsid w:val="00473CC0"/>
    <w:rsid w:val="004F36AA"/>
    <w:rsid w:val="00571395"/>
    <w:rsid w:val="005E50F8"/>
    <w:rsid w:val="006166B8"/>
    <w:rsid w:val="00622250"/>
    <w:rsid w:val="007038C0"/>
    <w:rsid w:val="008433CB"/>
    <w:rsid w:val="008460CE"/>
    <w:rsid w:val="009E5B0D"/>
    <w:rsid w:val="00C124D1"/>
    <w:rsid w:val="00C77BB5"/>
    <w:rsid w:val="00CA7406"/>
    <w:rsid w:val="00E27639"/>
    <w:rsid w:val="00F65B35"/>
    <w:rsid w:val="00FF3461"/>
    <w:rsid w:val="02E37638"/>
    <w:rsid w:val="062C6177"/>
    <w:rsid w:val="09943D41"/>
    <w:rsid w:val="0A2646F3"/>
    <w:rsid w:val="0C60453C"/>
    <w:rsid w:val="0CC779D3"/>
    <w:rsid w:val="0F621C35"/>
    <w:rsid w:val="0FF47D36"/>
    <w:rsid w:val="10A81499"/>
    <w:rsid w:val="12A20E51"/>
    <w:rsid w:val="13A03260"/>
    <w:rsid w:val="156E3C1D"/>
    <w:rsid w:val="15FF3D3A"/>
    <w:rsid w:val="17945FF8"/>
    <w:rsid w:val="197B4284"/>
    <w:rsid w:val="1A907657"/>
    <w:rsid w:val="1B455499"/>
    <w:rsid w:val="1B53424F"/>
    <w:rsid w:val="1F5A0233"/>
    <w:rsid w:val="209A10DD"/>
    <w:rsid w:val="260F686C"/>
    <w:rsid w:val="279C2E48"/>
    <w:rsid w:val="28494E94"/>
    <w:rsid w:val="29C054D5"/>
    <w:rsid w:val="2E3F51C4"/>
    <w:rsid w:val="32E673E2"/>
    <w:rsid w:val="335504F6"/>
    <w:rsid w:val="355B3830"/>
    <w:rsid w:val="35A90644"/>
    <w:rsid w:val="39E956CD"/>
    <w:rsid w:val="39F07BED"/>
    <w:rsid w:val="3C55750A"/>
    <w:rsid w:val="3C7C494B"/>
    <w:rsid w:val="45A33E32"/>
    <w:rsid w:val="46263857"/>
    <w:rsid w:val="4B131663"/>
    <w:rsid w:val="4B2B2900"/>
    <w:rsid w:val="4DAB7D28"/>
    <w:rsid w:val="4E642083"/>
    <w:rsid w:val="51450C9A"/>
    <w:rsid w:val="52860140"/>
    <w:rsid w:val="538C18A1"/>
    <w:rsid w:val="57BB34E2"/>
    <w:rsid w:val="5AB06874"/>
    <w:rsid w:val="5ADF6106"/>
    <w:rsid w:val="5CE35E88"/>
    <w:rsid w:val="5D192F00"/>
    <w:rsid w:val="5E3A16D8"/>
    <w:rsid w:val="609E1267"/>
    <w:rsid w:val="60E00A67"/>
    <w:rsid w:val="610937A0"/>
    <w:rsid w:val="61913936"/>
    <w:rsid w:val="62285994"/>
    <w:rsid w:val="6A2E6A02"/>
    <w:rsid w:val="6A34497F"/>
    <w:rsid w:val="727F515C"/>
    <w:rsid w:val="72DC41B5"/>
    <w:rsid w:val="73EE03E3"/>
    <w:rsid w:val="741144D9"/>
    <w:rsid w:val="75EF41C9"/>
    <w:rsid w:val="769356E7"/>
    <w:rsid w:val="79985434"/>
    <w:rsid w:val="7A911ED0"/>
    <w:rsid w:val="7C363F8E"/>
    <w:rsid w:val="7E3964D6"/>
    <w:rsid w:val="7E4F1946"/>
    <w:rsid w:val="7EEC216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autoRedefine/>
    <w:unhideWhenUsed/>
    <w:qFormat/>
    <w:uiPriority w:val="1"/>
  </w:style>
  <w:style w:type="table" w:default="1" w:styleId="7">
    <w:name w:val="Normal Table"/>
    <w:autoRedefine/>
    <w:unhideWhenUsed/>
    <w:qFormat/>
    <w:uiPriority w:val="99"/>
    <w:tblPr>
      <w:tblCellMar>
        <w:top w:w="0" w:type="dxa"/>
        <w:left w:w="108" w:type="dxa"/>
        <w:bottom w:w="0" w:type="dxa"/>
        <w:right w:w="108" w:type="dxa"/>
      </w:tblCellMar>
    </w:tblPr>
  </w:style>
  <w:style w:type="paragraph" w:styleId="3">
    <w:name w:val="Body Text Indent 2"/>
    <w:basedOn w:val="1"/>
    <w:next w:val="1"/>
    <w:autoRedefine/>
    <w:qFormat/>
    <w:uiPriority w:val="0"/>
    <w:pPr>
      <w:spacing w:after="120" w:line="480" w:lineRule="auto"/>
      <w:ind w:left="420" w:leftChars="200"/>
    </w:pPr>
  </w:style>
  <w:style w:type="paragraph" w:styleId="4">
    <w:name w:val="footer"/>
    <w:basedOn w:val="1"/>
    <w:link w:val="11"/>
    <w:autoRedefine/>
    <w:unhideWhenUsed/>
    <w:qFormat/>
    <w:uiPriority w:val="99"/>
    <w:pPr>
      <w:tabs>
        <w:tab w:val="center" w:pos="4153"/>
        <w:tab w:val="right" w:pos="8306"/>
      </w:tabs>
      <w:snapToGrid w:val="0"/>
      <w:jc w:val="left"/>
    </w:pPr>
    <w:rPr>
      <w:sz w:val="18"/>
      <w:szCs w:val="18"/>
    </w:rPr>
  </w:style>
  <w:style w:type="paragraph" w:styleId="5">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99"/>
    <w:pPr>
      <w:spacing w:before="100" w:beforeAutospacing="1" w:after="100" w:afterAutospacing="1"/>
      <w:ind w:left="0" w:right="0"/>
      <w:jc w:val="left"/>
    </w:pPr>
    <w:rPr>
      <w:kern w:val="0"/>
      <w:sz w:val="24"/>
      <w:lang w:val="en-US" w:eastAsia="zh-CN" w:bidi="ar"/>
    </w:rPr>
  </w:style>
  <w:style w:type="character" w:styleId="9">
    <w:name w:val="page number"/>
    <w:basedOn w:val="8"/>
    <w:autoRedefine/>
    <w:qFormat/>
    <w:uiPriority w:val="0"/>
  </w:style>
  <w:style w:type="character" w:styleId="10">
    <w:name w:val="Hyperlink"/>
    <w:basedOn w:val="8"/>
    <w:qFormat/>
    <w:uiPriority w:val="0"/>
    <w:rPr>
      <w:color w:val="0000FF"/>
      <w:u w:val="single"/>
    </w:rPr>
  </w:style>
  <w:style w:type="character" w:customStyle="1" w:styleId="11">
    <w:name w:val="页脚 Char"/>
    <w:basedOn w:val="8"/>
    <w:link w:val="4"/>
    <w:autoRedefine/>
    <w:semiHidden/>
    <w:qFormat/>
    <w:uiPriority w:val="99"/>
    <w:rPr>
      <w:rFonts w:ascii="Times New Roman" w:hAnsi="Times New Roman"/>
      <w:kern w:val="2"/>
      <w:sz w:val="18"/>
      <w:szCs w:val="18"/>
    </w:rPr>
  </w:style>
  <w:style w:type="character" w:customStyle="1" w:styleId="12">
    <w:name w:val="页眉 Char"/>
    <w:basedOn w:val="8"/>
    <w:link w:val="5"/>
    <w:autoRedefine/>
    <w:semiHidden/>
    <w:qFormat/>
    <w:uiPriority w:val="99"/>
    <w:rPr>
      <w:rFonts w:ascii="Times New Roman" w:hAnsi="Times New Roman"/>
      <w:kern w:val="2"/>
      <w:sz w:val="18"/>
      <w:szCs w:val="18"/>
    </w:rPr>
  </w:style>
  <w:style w:type="paragraph" w:customStyle="1" w:styleId="13">
    <w:name w:val="列出段落1"/>
    <w:basedOn w:val="1"/>
    <w:qFormat/>
    <w:uiPriority w:val="34"/>
    <w:pPr>
      <w:ind w:firstLine="420" w:firstLineChars="200"/>
    </w:p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p15"/>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1193</Words>
  <Characters>1293</Characters>
  <Lines>2</Lines>
  <Paragraphs>1</Paragraphs>
  <TotalTime>1</TotalTime>
  <ScaleCrop>false</ScaleCrop>
  <LinksUpToDate>false</LinksUpToDate>
  <CharactersWithSpaces>1330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2022-06-16T08:59:00Z</dcterms:created>
  <dc:creator>xbany</dc:creator>
  <cp:lastModifiedBy>人间四月天</cp:lastModifiedBy>
  <cp:lastPrinted>2025-07-31T00:54:00Z</cp:lastPrinted>
  <dcterms:modified xsi:type="dcterms:W3CDTF">2025-12-12T03:03:53Z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73AE880F808A48338092331B8C69ABF4_13</vt:lpwstr>
  </property>
  <property fmtid="{D5CDD505-2E9C-101B-9397-08002B2CF9AE}" pid="4" name="KSOTemplateDocerSaveRecord">
    <vt:lpwstr>eyJoZGlkIjoiYTBlMzQ5YzkxMzNmMjQ0ZTdhY2Q5MDQ1OWJkY2JmNmIiLCJ1c2VySWQiOiIyNDExMTU3NjAifQ==</vt:lpwstr>
  </property>
</Properties>
</file>