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089FC5">
      <w:pPr>
        <w:keepNext w:val="0"/>
        <w:keepLines w:val="0"/>
        <w:pageBreakBefore w:val="0"/>
        <w:widowControl/>
        <w:shd w:val="clear" w:color="auto" w:fill="FFFFFF"/>
        <w:kinsoku/>
        <w:wordWrap/>
        <w:overflowPunct/>
        <w:topLinePunct w:val="0"/>
        <w:autoSpaceDE/>
        <w:autoSpaceDN/>
        <w:bidi w:val="0"/>
        <w:adjustRightInd/>
        <w:snapToGrid/>
        <w:spacing w:line="590" w:lineRule="exact"/>
        <w:jc w:val="center"/>
        <w:textAlignment w:val="auto"/>
        <w:rPr>
          <w:rFonts w:hint="eastAsia" w:ascii="方正小标宋简体" w:hAnsi="方正小标宋简体" w:eastAsia="方正小标宋简体" w:cs="方正小标宋简体"/>
          <w:color w:val="000000" w:themeColor="text1"/>
          <w:kern w:val="0"/>
          <w:sz w:val="44"/>
          <w:szCs w:val="44"/>
          <w:highlight w:val="none"/>
          <w14:textFill>
            <w14:solidFill>
              <w14:schemeClr w14:val="tx1"/>
            </w14:solidFill>
          </w14:textFill>
        </w:rPr>
      </w:pPr>
    </w:p>
    <w:p w14:paraId="250F6835">
      <w:pPr>
        <w:keepNext w:val="0"/>
        <w:keepLines w:val="0"/>
        <w:pageBreakBefore w:val="0"/>
        <w:widowControl/>
        <w:shd w:val="clear" w:color="auto" w:fill="FFFFFF"/>
        <w:kinsoku/>
        <w:wordWrap/>
        <w:overflowPunct/>
        <w:topLinePunct w:val="0"/>
        <w:autoSpaceDE/>
        <w:autoSpaceDN/>
        <w:bidi w:val="0"/>
        <w:adjustRightInd/>
        <w:snapToGrid/>
        <w:spacing w:line="590" w:lineRule="exact"/>
        <w:jc w:val="both"/>
        <w:textAlignment w:val="auto"/>
        <w:rPr>
          <w:rFonts w:hint="eastAsia" w:ascii="方正小标宋简体" w:hAnsi="方正小标宋简体" w:eastAsia="方正小标宋简体" w:cs="方正小标宋简体"/>
          <w:color w:val="000000" w:themeColor="text1"/>
          <w:kern w:val="0"/>
          <w:sz w:val="44"/>
          <w:szCs w:val="44"/>
          <w:highlight w:val="none"/>
          <w14:textFill>
            <w14:solidFill>
              <w14:schemeClr w14:val="tx1"/>
            </w14:solidFill>
          </w14:textFill>
        </w:rPr>
      </w:pPr>
      <w:bookmarkStart w:id="0" w:name="_GoBack"/>
      <w:bookmarkEnd w:id="0"/>
    </w:p>
    <w:p w14:paraId="2F205D37">
      <w:pPr>
        <w:keepNext w:val="0"/>
        <w:keepLines w:val="0"/>
        <w:pageBreakBefore w:val="0"/>
        <w:widowControl/>
        <w:shd w:val="clear" w:color="auto" w:fill="FFFFFF"/>
        <w:kinsoku/>
        <w:wordWrap/>
        <w:overflowPunct/>
        <w:topLinePunct w:val="0"/>
        <w:autoSpaceDE/>
        <w:autoSpaceDN/>
        <w:bidi w:val="0"/>
        <w:adjustRightInd/>
        <w:snapToGrid/>
        <w:spacing w:line="590" w:lineRule="exact"/>
        <w:jc w:val="center"/>
        <w:textAlignment w:val="auto"/>
        <w:rPr>
          <w:rFonts w:ascii="方正小标宋简体" w:hAnsi="方正小标宋简体" w:eastAsia="方正小标宋简体" w:cs="方正小标宋简体"/>
          <w:color w:val="000000" w:themeColor="text1"/>
          <w:kern w:val="0"/>
          <w:sz w:val="44"/>
          <w:szCs w:val="44"/>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highlight w:val="none"/>
          <w14:textFill>
            <w14:solidFill>
              <w14:schemeClr w14:val="tx1"/>
            </w14:solidFill>
          </w14:textFill>
        </w:rPr>
        <w:t>关于进一步加大住房公积金对缴存人</w:t>
      </w:r>
    </w:p>
    <w:p w14:paraId="66D6DCBB">
      <w:pPr>
        <w:keepNext w:val="0"/>
        <w:keepLines w:val="0"/>
        <w:pageBreakBefore w:val="0"/>
        <w:widowControl/>
        <w:shd w:val="clear" w:color="auto" w:fill="FFFFFF"/>
        <w:kinsoku/>
        <w:wordWrap/>
        <w:overflowPunct/>
        <w:topLinePunct w:val="0"/>
        <w:autoSpaceDE/>
        <w:autoSpaceDN/>
        <w:bidi w:val="0"/>
        <w:adjustRightInd/>
        <w:snapToGrid/>
        <w:spacing w:line="590" w:lineRule="exact"/>
        <w:jc w:val="center"/>
        <w:textAlignment w:val="auto"/>
        <w:rPr>
          <w:rFonts w:hint="eastAsia" w:ascii="方正小标宋简体" w:hAnsi="方正小标宋简体" w:eastAsia="方正小标宋简体" w:cs="方正小标宋简体"/>
          <w:color w:val="000000" w:themeColor="text1"/>
          <w:kern w:val="0"/>
          <w:sz w:val="44"/>
          <w:szCs w:val="44"/>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highlight w:val="none"/>
          <w14:textFill>
            <w14:solidFill>
              <w14:schemeClr w14:val="tx1"/>
            </w14:solidFill>
          </w14:textFill>
        </w:rPr>
        <w:t>住房需求支持力度的通知</w:t>
      </w:r>
    </w:p>
    <w:p w14:paraId="1CA3FCD2">
      <w:pPr>
        <w:keepNext w:val="0"/>
        <w:keepLines w:val="0"/>
        <w:pageBreakBefore w:val="0"/>
        <w:widowControl/>
        <w:shd w:val="clear" w:color="auto" w:fill="FFFFFF"/>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公积金</w:t>
      </w:r>
      <w:r>
        <w:rPr>
          <w:rFonts w:hint="eastAsia" w:ascii="方正仿宋_GBK" w:hAnsi="方正仿宋_GBK" w:eastAsia="方正仿宋_GBK" w:cs="方正仿宋_GBK"/>
          <w:sz w:val="32"/>
          <w:szCs w:val="32"/>
          <w:lang w:val="en-US" w:eastAsia="zh-CN"/>
        </w:rPr>
        <w:t>委</w:t>
      </w:r>
      <w:r>
        <w:rPr>
          <w:rFonts w:hint="eastAsia" w:ascii="方正仿宋_GBK" w:hAnsi="方正仿宋_GBK" w:eastAsia="方正仿宋_GBK" w:cs="方正仿宋_GBK"/>
          <w:color w:val="000000"/>
          <w:sz w:val="32"/>
          <w:szCs w:val="32"/>
        </w:rPr>
        <w:t>〔20</w:t>
      </w:r>
      <w:r>
        <w:rPr>
          <w:rFonts w:hint="eastAsia" w:ascii="方正仿宋_GBK" w:hAnsi="方正仿宋_GBK" w:eastAsia="方正仿宋_GBK" w:cs="方正仿宋_GBK"/>
          <w:color w:val="000000"/>
          <w:sz w:val="32"/>
          <w:szCs w:val="32"/>
          <w:lang w:val="en-US" w:eastAsia="zh-CN"/>
        </w:rPr>
        <w:t>25</w:t>
      </w:r>
      <w:r>
        <w:rPr>
          <w:rFonts w:hint="eastAsia" w:ascii="方正仿宋_GBK" w:hAnsi="方正仿宋_GBK" w:eastAsia="方正仿宋_GBK" w:cs="方正仿宋_GBK"/>
          <w:color w:val="000000"/>
          <w:sz w:val="32"/>
          <w:szCs w:val="32"/>
        </w:rPr>
        <w:t>〕</w:t>
      </w:r>
      <w:r>
        <w:rPr>
          <w:rFonts w:hint="eastAsia" w:ascii="方正仿宋_GBK" w:hAnsi="方正仿宋_GBK" w:eastAsia="方正仿宋_GBK" w:cs="方正仿宋_GBK"/>
          <w:color w:val="000000"/>
          <w:sz w:val="32"/>
          <w:szCs w:val="32"/>
          <w:lang w:val="en-US" w:eastAsia="zh-CN"/>
        </w:rPr>
        <w:t>2</w:t>
      </w:r>
      <w:r>
        <w:rPr>
          <w:rFonts w:hint="eastAsia" w:ascii="方正仿宋_GBK" w:hAnsi="方正仿宋_GBK" w:eastAsia="方正仿宋_GBK" w:cs="方正仿宋_GBK"/>
          <w:sz w:val="32"/>
          <w:szCs w:val="32"/>
        </w:rPr>
        <w:t>号</w:t>
      </w:r>
    </w:p>
    <w:p w14:paraId="169ACCBE">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b/>
          <w:sz w:val="32"/>
          <w:szCs w:val="32"/>
        </w:rPr>
      </w:pPr>
    </w:p>
    <w:p w14:paraId="126036D0">
      <w:pPr>
        <w:keepNext w:val="0"/>
        <w:keepLines w:val="0"/>
        <w:pageBreakBefore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各住房公积金缴存单位、缴存人：</w:t>
      </w:r>
    </w:p>
    <w:p w14:paraId="2BDB064A">
      <w:pPr>
        <w:keepNext w:val="0"/>
        <w:keepLines w:val="0"/>
        <w:pageBreakBefore w:val="0"/>
        <w:kinsoku/>
        <w:wordWrap/>
        <w:overflowPunct/>
        <w:topLinePunct w:val="0"/>
        <w:autoSpaceDE/>
        <w:autoSpaceDN/>
        <w:bidi w:val="0"/>
        <w:adjustRightInd/>
        <w:snapToGrid/>
        <w:spacing w:line="590" w:lineRule="exact"/>
        <w:ind w:firstLine="64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为进一步发挥住房公积金安居保障作用，提升住房公积金缴存人住房消费能力，助推经济持续回升向好，结合我市实际，现就进一步加大住房公积金对缴存人住房需求支持力度有关事项通知如下。</w:t>
      </w:r>
    </w:p>
    <w:p w14:paraId="29294EEC">
      <w:pPr>
        <w:keepNext w:val="0"/>
        <w:keepLines w:val="0"/>
        <w:pageBreakBefore w:val="0"/>
        <w:widowControl w:val="0"/>
        <w:shd w:val="clear" w:color="auto" w:fill="FFFFFF"/>
        <w:kinsoku/>
        <w:wordWrap/>
        <w:overflowPunct/>
        <w:topLinePunct w:val="0"/>
        <w:autoSpaceDE/>
        <w:autoSpaceDN/>
        <w:bidi w:val="0"/>
        <w:adjustRightInd/>
        <w:snapToGrid/>
        <w:spacing w:line="590" w:lineRule="exact"/>
        <w:ind w:left="0" w:firstLine="640" w:firstLineChars="200"/>
        <w:jc w:val="both"/>
        <w:textAlignment w:val="auto"/>
        <w:rPr>
          <w:rFonts w:hint="eastAsia" w:ascii="Times New Roman" w:hAnsi="Times New Roman" w:eastAsia="方正黑体_GBK" w:cs="Times New Roman"/>
          <w:color w:val="000000" w:themeColor="text1"/>
          <w:sz w:val="32"/>
          <w:szCs w:val="32"/>
          <w:highlight w:val="none"/>
          <w:shd w:val="clear" w:color="auto" w:fill="FFFFFF"/>
          <w:lang w:val="en-US" w:eastAsia="zh-CN"/>
          <w14:textFill>
            <w14:solidFill>
              <w14:schemeClr w14:val="tx1"/>
            </w14:solidFill>
          </w14:textFill>
        </w:rPr>
      </w:pPr>
      <w:r>
        <w:rPr>
          <w:rFonts w:hint="eastAsia" w:ascii="Times New Roman" w:hAnsi="Times New Roman" w:eastAsia="方正黑体_GBK" w:cs="Times New Roman"/>
          <w:color w:val="000000" w:themeColor="text1"/>
          <w:sz w:val="32"/>
          <w:szCs w:val="32"/>
          <w:highlight w:val="none"/>
          <w:shd w:val="clear" w:color="auto" w:fill="FFFFFF"/>
          <w:lang w:val="en-US" w:eastAsia="zh-CN"/>
          <w14:textFill>
            <w14:solidFill>
              <w14:schemeClr w14:val="tx1"/>
            </w14:solidFill>
          </w14:textFill>
        </w:rPr>
        <w:t>一、加大对缴存人提取的支持力度</w:t>
      </w:r>
    </w:p>
    <w:p w14:paraId="7820C6F2">
      <w:pPr>
        <w:keepNext w:val="0"/>
        <w:keepLines w:val="0"/>
        <w:pageBreakBefore w:val="0"/>
        <w:kinsoku/>
        <w:wordWrap/>
        <w:overflowPunct/>
        <w:topLinePunct w:val="0"/>
        <w:autoSpaceDE/>
        <w:autoSpaceDN/>
        <w:bidi w:val="0"/>
        <w:adjustRightInd/>
        <w:snapToGrid/>
        <w:spacing w:line="590" w:lineRule="exact"/>
        <w:ind w:firstLine="640"/>
        <w:textAlignment w:val="auto"/>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（一）加大租房提取住房公积金支持力度。</w:t>
      </w:r>
    </w:p>
    <w:p w14:paraId="0A6410CD">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1.在亳州市行政区域内职工家庭有农村宅基地不动产权登记，但在工作地无自有住房且租赁住房的，可申请租房提取住房公积金。</w:t>
      </w:r>
    </w:p>
    <w:p w14:paraId="26E4AE3A">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K" w:hAnsi="方正仿宋_GBK" w:eastAsia="方正仿宋_GBK" w:cs="方正仿宋_GBK"/>
          <w:sz w:val="32"/>
          <w:szCs w:val="32"/>
          <w:lang w:val="en-US" w:eastAsia="zh-CN"/>
        </w:rPr>
        <w:t>2.提高租房提取公积金额度，符合租房提取公积金条件的职工每年最高提取额由15000元提高到18000元。</w:t>
      </w:r>
    </w:p>
    <w:p w14:paraId="481ED8C2">
      <w:pPr>
        <w:keepNext w:val="0"/>
        <w:keepLines w:val="0"/>
        <w:pageBreakBefore w:val="0"/>
        <w:kinsoku/>
        <w:wordWrap/>
        <w:overflowPunct/>
        <w:topLinePunct w:val="0"/>
        <w:autoSpaceDE/>
        <w:autoSpaceDN/>
        <w:bidi w:val="0"/>
        <w:adjustRightInd/>
        <w:snapToGrid/>
        <w:spacing w:line="590" w:lineRule="exact"/>
        <w:ind w:firstLine="640"/>
        <w:textAlignment w:val="auto"/>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（二）开展委托划转住房公积金偿还异地商业性个人住房贷款业务。</w:t>
      </w:r>
    </w:p>
    <w:p w14:paraId="58B7D166">
      <w:pPr>
        <w:keepNext w:val="0"/>
        <w:keepLines w:val="0"/>
        <w:pageBreakBefore w:val="0"/>
        <w:kinsoku/>
        <w:wordWrap/>
        <w:overflowPunct/>
        <w:topLinePunct w:val="0"/>
        <w:autoSpaceDE/>
        <w:autoSpaceDN/>
        <w:bidi w:val="0"/>
        <w:adjustRightInd/>
        <w:snapToGrid/>
        <w:spacing w:line="590" w:lineRule="exact"/>
        <w:ind w:firstLine="640"/>
        <w:textAlignment w:val="auto"/>
        <w:rPr>
          <w:rFonts w:hint="eastAsia" w:ascii="仿宋_GB2312" w:eastAsia="仿宋_GB2312"/>
          <w:sz w:val="32"/>
          <w:szCs w:val="32"/>
          <w:lang w:val="en-US" w:eastAsia="zh-CN"/>
        </w:rPr>
      </w:pPr>
      <w:r>
        <w:rPr>
          <w:rFonts w:hint="eastAsia" w:ascii="方正仿宋_GBK" w:hAnsi="方正仿宋_GBK" w:eastAsia="方正仿宋_GBK" w:cs="方正仿宋_GBK"/>
          <w:sz w:val="32"/>
          <w:szCs w:val="32"/>
          <w:lang w:val="en-US" w:eastAsia="zh-CN"/>
        </w:rPr>
        <w:t>在亳州市缴存住房公积金，且在外市办理商业性个人住房贷款的缴存人，在符合委托划转住房公积金偿还商业性个人住房贷款业务相关要求的前提下，提供征信查询授权书，可申请办理该项业务。</w:t>
      </w:r>
    </w:p>
    <w:p w14:paraId="0BF7B65B">
      <w:pPr>
        <w:keepNext w:val="0"/>
        <w:keepLines w:val="0"/>
        <w:pageBreakBefore w:val="0"/>
        <w:numPr>
          <w:ilvl w:val="0"/>
          <w:numId w:val="1"/>
        </w:numPr>
        <w:kinsoku/>
        <w:wordWrap/>
        <w:overflowPunct/>
        <w:topLinePunct w:val="0"/>
        <w:autoSpaceDE/>
        <w:autoSpaceDN/>
        <w:bidi w:val="0"/>
        <w:adjustRightInd/>
        <w:snapToGrid/>
        <w:spacing w:line="590" w:lineRule="exact"/>
        <w:ind w:firstLine="640"/>
        <w:textAlignment w:val="auto"/>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开展购买自住商品房提取住房公积金“随心办”业务。</w:t>
      </w:r>
    </w:p>
    <w:p w14:paraId="47B1DBD8">
      <w:pPr>
        <w:keepNext w:val="0"/>
        <w:keepLines w:val="0"/>
        <w:pageBreakBefore w:val="0"/>
        <w:numPr>
          <w:ilvl w:val="0"/>
          <w:numId w:val="0"/>
        </w:numPr>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highlight w:val="none"/>
          <w:shd w:val="clear" w:color="auto" w:fill="FFFFFF"/>
          <w:lang w:val="en-US" w:eastAsia="zh-CN"/>
          <w14:textFill>
            <w14:solidFill>
              <w14:schemeClr w14:val="tx1"/>
            </w14:solidFill>
          </w14:textFill>
        </w:rPr>
      </w:pPr>
      <w:r>
        <w:rPr>
          <w:rFonts w:hint="eastAsia" w:ascii="方正仿宋_GBK" w:hAnsi="方正仿宋_GBK" w:eastAsia="方正仿宋_GBK" w:cs="方正仿宋_GBK"/>
          <w:sz w:val="32"/>
          <w:szCs w:val="32"/>
          <w:lang w:val="en-US" w:eastAsia="zh-CN"/>
        </w:rPr>
        <w:t>在亳州市缴存住房公积金的缴存人及配偶在亳州市行政区域内购买自住新建商品房提取公积金，可自主录入提取金额，公积金业务系统自动审批，实时到账。</w:t>
      </w:r>
    </w:p>
    <w:p w14:paraId="3A4409A2">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黑体_GBK" w:cs="Times New Roman"/>
          <w:color w:val="000000" w:themeColor="text1"/>
          <w:sz w:val="32"/>
          <w:szCs w:val="32"/>
          <w:highlight w:val="none"/>
          <w:shd w:val="clear" w:color="auto" w:fill="FFFFFF"/>
          <w:lang w:val="en-US" w:eastAsia="zh-CN"/>
          <w14:textFill>
            <w14:solidFill>
              <w14:schemeClr w14:val="tx1"/>
            </w14:solidFill>
          </w14:textFill>
        </w:rPr>
      </w:pPr>
      <w:r>
        <w:rPr>
          <w:rFonts w:hint="eastAsia" w:ascii="Times New Roman" w:hAnsi="Times New Roman" w:eastAsia="方正黑体_GBK" w:cs="Times New Roman"/>
          <w:color w:val="000000" w:themeColor="text1"/>
          <w:sz w:val="32"/>
          <w:szCs w:val="32"/>
          <w:highlight w:val="none"/>
          <w:shd w:val="clear" w:color="auto" w:fill="FFFFFF"/>
          <w:lang w:val="en-US" w:eastAsia="zh-CN"/>
          <w14:textFill>
            <w14:solidFill>
              <w14:schemeClr w14:val="tx1"/>
            </w14:solidFill>
          </w14:textFill>
        </w:rPr>
        <w:t>二、加大对缴存人贷款的支持力度</w:t>
      </w:r>
    </w:p>
    <w:p w14:paraId="6E8640F5">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（一）优化个人住房公积金贷款最低首付款比例。</w:t>
      </w:r>
    </w:p>
    <w:p w14:paraId="5457F34C">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仿宋_GB2312" w:eastAsia="仿宋_GB2312"/>
          <w:sz w:val="32"/>
          <w:szCs w:val="32"/>
          <w:lang w:val="en-US" w:eastAsia="zh-CN"/>
        </w:rPr>
      </w:pPr>
      <w:r>
        <w:rPr>
          <w:rFonts w:hint="eastAsia" w:ascii="方正仿宋_GBK" w:hAnsi="方正仿宋_GBK" w:eastAsia="方正仿宋_GBK" w:cs="方正仿宋_GBK"/>
          <w:sz w:val="32"/>
          <w:szCs w:val="32"/>
          <w:lang w:val="en-US" w:eastAsia="zh-CN"/>
        </w:rPr>
        <w:t>在亳州市行政区域内购买自住新建商品房的缴存人，首次或第二次使用住房公积金贷款的，最低首付款比例统一调整为20%。</w:t>
      </w:r>
    </w:p>
    <w:p w14:paraId="60D75D5A">
      <w:pPr>
        <w:keepNext w:val="0"/>
        <w:keepLines w:val="0"/>
        <w:pageBreakBefore w:val="0"/>
        <w:numPr>
          <w:ilvl w:val="0"/>
          <w:numId w:val="2"/>
        </w:numPr>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加大高校毕业生购房支持力度。</w:t>
      </w:r>
    </w:p>
    <w:p w14:paraId="2AB16C06">
      <w:pPr>
        <w:keepNext w:val="0"/>
        <w:keepLines w:val="0"/>
        <w:pageBreakBefore w:val="0"/>
        <w:numPr>
          <w:ilvl w:val="0"/>
          <w:numId w:val="0"/>
        </w:numPr>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2024年以来在亳就业具有专科及以上学历的毕业生，在亳州市缴存住房公积金，购买亳州市行政区域内自住商品房首次申请住房公积金贷款，贷款额度在可贷额度基础上增加10万元，上浮贷款额度与现行的其他住房公积金贷款优惠政策不叠加且上浮后的贷款总额不超过亳州市执行的住房公积金最高贷款额度。</w:t>
      </w:r>
    </w:p>
    <w:p w14:paraId="54368DAB">
      <w:pPr>
        <w:keepNext w:val="0"/>
        <w:keepLines w:val="0"/>
        <w:pageBreakBefore w:val="0"/>
        <w:numPr>
          <w:ilvl w:val="0"/>
          <w:numId w:val="2"/>
        </w:numPr>
        <w:kinsoku/>
        <w:wordWrap/>
        <w:overflowPunct/>
        <w:topLinePunct w:val="0"/>
        <w:autoSpaceDE/>
        <w:autoSpaceDN/>
        <w:bidi w:val="0"/>
        <w:adjustRightInd/>
        <w:snapToGrid/>
        <w:spacing w:line="590" w:lineRule="exact"/>
        <w:ind w:left="0" w:leftChars="0" w:firstLine="640" w:firstLineChars="200"/>
        <w:textAlignment w:val="auto"/>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加大退役军人公积金贷款支持力度。</w:t>
      </w:r>
    </w:p>
    <w:p w14:paraId="5944C24F">
      <w:pPr>
        <w:keepNext w:val="0"/>
        <w:keepLines w:val="0"/>
        <w:pageBreakBefore w:val="0"/>
        <w:numPr>
          <w:ilvl w:val="0"/>
          <w:numId w:val="0"/>
        </w:numPr>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在亳州市正常缴存住房公积金的退役军人，购买亳州市行政区域内自住商品房首次申请住房公积金贷款，凭退役军人“优待证”，贷款额度在可贷额度基础上增加10万元，上浮贷款额度与现行的其他住房公积金贷款优惠政策不叠加且上浮后的贷款总额不超过亳州市执行的住房公积金最高贷款额度。</w:t>
      </w:r>
    </w:p>
    <w:p w14:paraId="7E5DB3E7">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本通知发布后，国家、省另有新规定的，遵照执行。</w:t>
      </w:r>
    </w:p>
    <w:p w14:paraId="5B982E81">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                   </w:t>
      </w:r>
    </w:p>
    <w:p w14:paraId="637F3C46">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p>
    <w:p w14:paraId="1A85971E">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p>
    <w:p w14:paraId="1F9EDDA8">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                       2025年3月26日</w:t>
      </w:r>
    </w:p>
    <w:p w14:paraId="1A3B8397">
      <w:pPr>
        <w:keepNext w:val="0"/>
        <w:keepLines w:val="0"/>
        <w:pageBreakBefore w:val="0"/>
        <w:kinsoku/>
        <w:wordWrap/>
        <w:overflowPunct/>
        <w:topLinePunct w:val="0"/>
        <w:autoSpaceDE/>
        <w:autoSpaceDN/>
        <w:bidi w:val="0"/>
        <w:adjustRightInd/>
        <w:snapToGrid/>
        <w:spacing w:line="590" w:lineRule="exact"/>
        <w:ind w:firstLine="640"/>
        <w:textAlignment w:val="auto"/>
        <w:rPr>
          <w:rFonts w:hint="eastAsia" w:ascii="仿宋_GB2312" w:eastAsia="仿宋_GB2312"/>
          <w:sz w:val="32"/>
          <w:szCs w:val="32"/>
          <w:lang w:val="en-US" w:eastAsia="zh-CN"/>
        </w:rPr>
      </w:pPr>
    </w:p>
    <w:p w14:paraId="741EBF47">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eastAsia="仿宋_GB2312"/>
          <w:sz w:val="32"/>
          <w:szCs w:val="32"/>
          <w:lang w:val="en-US" w:eastAsia="zh-CN"/>
        </w:rPr>
      </w:pPr>
    </w:p>
    <w:sectPr>
      <w:headerReference r:id="rId3" w:type="default"/>
      <w:footerReference r:id="rId4" w:type="default"/>
      <w:pgSz w:w="11906" w:h="16838"/>
      <w:pgMar w:top="1440" w:right="1800" w:bottom="1440" w:left="1800"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embedRegular r:id="rId1" w:fontKey="{EC93E882-C83B-486B-ACA0-A65CA9644A99}"/>
  </w:font>
  <w:font w:name="方正仿宋_GB2312">
    <w:panose1 w:val="02000000000000000000"/>
    <w:charset w:val="86"/>
    <w:family w:val="auto"/>
    <w:pitch w:val="default"/>
    <w:sig w:usb0="A00002BF" w:usb1="184F6CFA" w:usb2="00000012" w:usb3="00000000" w:csb0="00040001" w:csb1="00000000"/>
    <w:embedRegular r:id="rId2" w:fontKey="{DDA67783-C9D6-4523-A210-24701FA7F906}"/>
  </w:font>
  <w:font w:name="华文中宋">
    <w:panose1 w:val="02010600040101010101"/>
    <w:charset w:val="86"/>
    <w:family w:val="auto"/>
    <w:pitch w:val="default"/>
    <w:sig w:usb0="00000287" w:usb1="080F0000" w:usb2="00000000" w:usb3="00000000" w:csb0="0004009F" w:csb1="DFD70000"/>
  </w:font>
  <w:font w:name="方正黑体_GBK">
    <w:panose1 w:val="03000509000000000000"/>
    <w:charset w:val="86"/>
    <w:family w:val="auto"/>
    <w:pitch w:val="default"/>
    <w:sig w:usb0="00000001" w:usb1="080E0000" w:usb2="00000000" w:usb3="00000000" w:csb0="00040000" w:csb1="00000000"/>
    <w:embedRegular r:id="rId3" w:fontKey="{B36B1DAE-B1E9-4067-A95A-3D6A59FF67CE}"/>
  </w:font>
  <w:font w:name="方正楷体_GBK">
    <w:panose1 w:val="03000509000000000000"/>
    <w:charset w:val="86"/>
    <w:family w:val="auto"/>
    <w:pitch w:val="default"/>
    <w:sig w:usb0="00000001" w:usb1="080E0000" w:usb2="00000000" w:usb3="00000000" w:csb0="00040000" w:csb1="00000000"/>
    <w:embedRegular r:id="rId4" w:fontKey="{367EF823-72DC-40EA-AF91-1F448B1AA8C9}"/>
  </w:font>
  <w:font w:name="仿宋_GB2312">
    <w:panose1 w:val="02010609030101010101"/>
    <w:charset w:val="86"/>
    <w:family w:val="modern"/>
    <w:pitch w:val="default"/>
    <w:sig w:usb0="00000001" w:usb1="080E0000" w:usb2="00000000" w:usb3="00000000" w:csb0="00040000" w:csb1="00000000"/>
    <w:embedRegular r:id="rId5" w:fontKey="{DD834865-C0DA-4E47-AF24-18600421B546}"/>
  </w:font>
  <w:font w:name="仿宋">
    <w:panose1 w:val="02010609060101010101"/>
    <w:charset w:val="86"/>
    <w:family w:val="auto"/>
    <w:pitch w:val="default"/>
    <w:sig w:usb0="800002BF" w:usb1="38CF7CFA" w:usb2="00000016" w:usb3="00000000" w:csb0="00040001" w:csb1="00000000"/>
    <w:embedRegular r:id="rId6" w:fontKey="{BDE1381B-CBEB-4F5F-8768-155EA786A81F}"/>
  </w:font>
  <w:font w:name="方正仿宋_GBK">
    <w:panose1 w:val="03000509000000000000"/>
    <w:charset w:val="86"/>
    <w:family w:val="auto"/>
    <w:pitch w:val="default"/>
    <w:sig w:usb0="00000001" w:usb1="080E0000" w:usb2="00000000" w:usb3="00000000" w:csb0="00040000" w:csb1="00000000"/>
    <w:embedRegular r:id="rId7" w:fontKey="{57451843-873F-4C63-9F8C-8F748EC0CC87}"/>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新宋体">
    <w:panose1 w:val="02010609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BF11F">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1"/>
                      </a:solidFill>
                      <a:ln w="6350">
                        <a:noFill/>
                      </a:ln>
                    </wps:spPr>
                    <wps:style>
                      <a:lnRef idx="0">
                        <a:schemeClr val="accent1"/>
                      </a:lnRef>
                      <a:fillRef idx="0">
                        <a:schemeClr val="accent1"/>
                      </a:fillRef>
                      <a:effectRef idx="0">
                        <a:schemeClr val="accent1"/>
                      </a:effectRef>
                      <a:fontRef idx="minor">
                        <a:schemeClr val="dk1"/>
                      </a:fontRef>
                    </wps:style>
                    <wps:txbx>
                      <w:txbxContent>
                        <w:p w14:paraId="56CE9C2B">
                          <w:pPr>
                            <w:pStyle w:val="3"/>
                            <w:rPr>
                              <w:rFonts w:cs="仿宋"/>
                              <w:sz w:val="18"/>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  \* MERGEFORMAT </w:instrText>
                          </w:r>
                          <w:r>
                            <w:rPr>
                              <w:rFonts w:hint="eastAsia" w:ascii="仿宋" w:hAnsi="仿宋" w:eastAsia="仿宋" w:cs="仿宋"/>
                              <w:sz w:val="32"/>
                              <w:szCs w:val="32"/>
                            </w:rPr>
                            <w:fldChar w:fldCharType="separate"/>
                          </w:r>
                          <w:r>
                            <w:rPr>
                              <w:rFonts w:hint="eastAsia" w:ascii="仿宋" w:hAnsi="仿宋" w:eastAsia="仿宋" w:cs="仿宋"/>
                              <w:sz w:val="32"/>
                              <w:szCs w:val="32"/>
                            </w:rPr>
                            <w:t>2</w:t>
                          </w:r>
                          <w:r>
                            <w:rPr>
                              <w:rFonts w:hint="eastAsia" w:ascii="仿宋" w:hAnsi="仿宋" w:eastAsia="仿宋" w:cs="仿宋"/>
                              <w:sz w:val="3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color="#FFFFFF [3212]" filled="t" stroked="f" coordsize="21600,21600" o:gfxdata="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r7wQHdEAAAAFAQAADwAAAAAAAAABACAAAAAiAAAAZHJz&#10;L2Rvd25yZXYueG1sUEsBAhQAFAAAAAgAh07iQDqY4wNEAgAAigQAAA4AAAAAAAAAAQAgAAAAIAEA&#10;AGRycy9lMm9Eb2MueG1sUEsFBgAAAAAGAAYAWQEAANYFAAAAAA==&#10;">
              <v:fill on="t" focussize="0,0"/>
              <v:stroke on="f" weight="0.5pt"/>
              <v:imagedata o:title=""/>
              <o:lock v:ext="edit" aspectratio="f"/>
              <v:textbox inset="0mm,0mm,0mm,0mm" style="mso-fit-shape-to-text:t;">
                <w:txbxContent>
                  <w:p w14:paraId="56CE9C2B">
                    <w:pPr>
                      <w:pStyle w:val="3"/>
                      <w:rPr>
                        <w:rFonts w:cs="仿宋"/>
                        <w:sz w:val="18"/>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  \* MERGEFORMAT </w:instrText>
                    </w:r>
                    <w:r>
                      <w:rPr>
                        <w:rFonts w:hint="eastAsia" w:ascii="仿宋" w:hAnsi="仿宋" w:eastAsia="仿宋" w:cs="仿宋"/>
                        <w:sz w:val="32"/>
                        <w:szCs w:val="32"/>
                      </w:rPr>
                      <w:fldChar w:fldCharType="separate"/>
                    </w:r>
                    <w:r>
                      <w:rPr>
                        <w:rFonts w:hint="eastAsia" w:ascii="仿宋" w:hAnsi="仿宋" w:eastAsia="仿宋" w:cs="仿宋"/>
                        <w:sz w:val="32"/>
                        <w:szCs w:val="32"/>
                      </w:rPr>
                      <w:t>2</w:t>
                    </w:r>
                    <w:r>
                      <w:rPr>
                        <w:rFonts w:hint="eastAsia" w:ascii="仿宋" w:hAnsi="仿宋" w:eastAsia="仿宋" w:cs="仿宋"/>
                        <w:sz w:val="32"/>
                        <w:szCs w:val="32"/>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88D37">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85131E"/>
    <w:multiLevelType w:val="singleLevel"/>
    <w:tmpl w:val="D885131E"/>
    <w:lvl w:ilvl="0" w:tentative="0">
      <w:start w:val="3"/>
      <w:numFmt w:val="chineseCounting"/>
      <w:suff w:val="nothing"/>
      <w:lvlText w:val="（%1）"/>
      <w:lvlJc w:val="left"/>
      <w:rPr>
        <w:rFonts w:hint="eastAsia"/>
      </w:rPr>
    </w:lvl>
  </w:abstractNum>
  <w:abstractNum w:abstractNumId="1">
    <w:nsid w:val="223FE59D"/>
    <w:multiLevelType w:val="singleLevel"/>
    <w:tmpl w:val="223FE59D"/>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3NTQ4ZjA0NzJlOGRmNDUwOGY4Y2E5NGNkYjdkODMifQ=="/>
  </w:docVars>
  <w:rsids>
    <w:rsidRoot w:val="00104C55"/>
    <w:rsid w:val="00076E22"/>
    <w:rsid w:val="000A10EA"/>
    <w:rsid w:val="00104C55"/>
    <w:rsid w:val="00123064"/>
    <w:rsid w:val="00193421"/>
    <w:rsid w:val="00271B89"/>
    <w:rsid w:val="0039776B"/>
    <w:rsid w:val="003D216A"/>
    <w:rsid w:val="00417F1F"/>
    <w:rsid w:val="00473CC0"/>
    <w:rsid w:val="004F36AA"/>
    <w:rsid w:val="00571395"/>
    <w:rsid w:val="005E50F8"/>
    <w:rsid w:val="006166B8"/>
    <w:rsid w:val="00622250"/>
    <w:rsid w:val="007038C0"/>
    <w:rsid w:val="008433CB"/>
    <w:rsid w:val="008460CE"/>
    <w:rsid w:val="009E5B0D"/>
    <w:rsid w:val="00C124D1"/>
    <w:rsid w:val="00C77BB5"/>
    <w:rsid w:val="00CA7406"/>
    <w:rsid w:val="00E27639"/>
    <w:rsid w:val="00F65B35"/>
    <w:rsid w:val="00FF3461"/>
    <w:rsid w:val="02191F5C"/>
    <w:rsid w:val="04DF6140"/>
    <w:rsid w:val="062C6177"/>
    <w:rsid w:val="0CC779D3"/>
    <w:rsid w:val="0FE03DDD"/>
    <w:rsid w:val="0FF47D36"/>
    <w:rsid w:val="156E3C1D"/>
    <w:rsid w:val="15FF3D3A"/>
    <w:rsid w:val="197B4284"/>
    <w:rsid w:val="1B455499"/>
    <w:rsid w:val="1B53424F"/>
    <w:rsid w:val="1D616CAC"/>
    <w:rsid w:val="1F5A0233"/>
    <w:rsid w:val="205D40B8"/>
    <w:rsid w:val="209A10DD"/>
    <w:rsid w:val="23A53C07"/>
    <w:rsid w:val="28494E94"/>
    <w:rsid w:val="29C054D5"/>
    <w:rsid w:val="32E673E2"/>
    <w:rsid w:val="335504F6"/>
    <w:rsid w:val="35A90644"/>
    <w:rsid w:val="39E956CD"/>
    <w:rsid w:val="39F07BED"/>
    <w:rsid w:val="3C8E2660"/>
    <w:rsid w:val="3D4D1639"/>
    <w:rsid w:val="4B2B2900"/>
    <w:rsid w:val="4CD74E5C"/>
    <w:rsid w:val="4F4D60AF"/>
    <w:rsid w:val="52860140"/>
    <w:rsid w:val="5B922BF5"/>
    <w:rsid w:val="5E3A16D8"/>
    <w:rsid w:val="61913936"/>
    <w:rsid w:val="62285994"/>
    <w:rsid w:val="6A2E6A02"/>
    <w:rsid w:val="6A34497F"/>
    <w:rsid w:val="71EB438E"/>
    <w:rsid w:val="727F515C"/>
    <w:rsid w:val="72AA6EB9"/>
    <w:rsid w:val="73EE03E3"/>
    <w:rsid w:val="75EF41C9"/>
    <w:rsid w:val="7A911ED0"/>
    <w:rsid w:val="7C363F8E"/>
    <w:rsid w:val="7E3964D6"/>
    <w:rsid w:val="7E4F1946"/>
    <w:rsid w:val="7EEC216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autoRedefine/>
    <w:unhideWhenUsed/>
    <w:qFormat/>
    <w:uiPriority w:val="1"/>
  </w:style>
  <w:style w:type="table" w:default="1" w:styleId="6">
    <w:name w:val="Normal Table"/>
    <w:autoRedefine/>
    <w:unhideWhenUsed/>
    <w:qFormat/>
    <w:uiPriority w:val="99"/>
    <w:tblPr>
      <w:tblCellMar>
        <w:top w:w="0" w:type="dxa"/>
        <w:left w:w="108" w:type="dxa"/>
        <w:bottom w:w="0" w:type="dxa"/>
        <w:right w:w="108" w:type="dxa"/>
      </w:tblCellMar>
    </w:tblPr>
  </w:style>
  <w:style w:type="paragraph" w:styleId="2">
    <w:name w:val="Body Text Indent 2"/>
    <w:basedOn w:val="1"/>
    <w:next w:val="1"/>
    <w:autoRedefine/>
    <w:qFormat/>
    <w:uiPriority w:val="0"/>
    <w:pPr>
      <w:spacing w:after="120" w:line="480" w:lineRule="auto"/>
      <w:ind w:left="420" w:leftChars="200"/>
    </w:pPr>
  </w:style>
  <w:style w:type="paragraph" w:styleId="3">
    <w:name w:val="footer"/>
    <w:basedOn w:val="1"/>
    <w:link w:val="9"/>
    <w:autoRedefine/>
    <w:unhideWhenUsed/>
    <w:qFormat/>
    <w:uiPriority w:val="99"/>
    <w:pPr>
      <w:tabs>
        <w:tab w:val="center" w:pos="4153"/>
        <w:tab w:val="right" w:pos="8306"/>
      </w:tabs>
      <w:snapToGrid w:val="0"/>
      <w:jc w:val="left"/>
    </w:pPr>
    <w:rPr>
      <w:sz w:val="18"/>
      <w:szCs w:val="18"/>
    </w:rPr>
  </w:style>
  <w:style w:type="paragraph" w:styleId="4">
    <w:name w:val="header"/>
    <w:basedOn w:val="1"/>
    <w:link w:val="10"/>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autoRedefine/>
    <w:qFormat/>
    <w:uiPriority w:val="99"/>
    <w:pPr>
      <w:spacing w:before="100" w:beforeAutospacing="1" w:after="100" w:afterAutospacing="1"/>
      <w:ind w:left="0" w:right="0"/>
      <w:jc w:val="left"/>
    </w:pPr>
    <w:rPr>
      <w:kern w:val="0"/>
      <w:sz w:val="24"/>
      <w:lang w:val="en-US" w:eastAsia="zh-CN" w:bidi="ar"/>
    </w:rPr>
  </w:style>
  <w:style w:type="character" w:styleId="8">
    <w:name w:val="page number"/>
    <w:basedOn w:val="7"/>
    <w:autoRedefine/>
    <w:qFormat/>
    <w:uiPriority w:val="0"/>
  </w:style>
  <w:style w:type="character" w:customStyle="1" w:styleId="9">
    <w:name w:val="页脚 Char"/>
    <w:basedOn w:val="7"/>
    <w:link w:val="3"/>
    <w:autoRedefine/>
    <w:semiHidden/>
    <w:qFormat/>
    <w:uiPriority w:val="99"/>
    <w:rPr>
      <w:rFonts w:ascii="Times New Roman" w:hAnsi="Times New Roman"/>
      <w:kern w:val="2"/>
      <w:sz w:val="18"/>
      <w:szCs w:val="18"/>
    </w:rPr>
  </w:style>
  <w:style w:type="character" w:customStyle="1" w:styleId="10">
    <w:name w:val="页眉 Char"/>
    <w:basedOn w:val="7"/>
    <w:link w:val="4"/>
    <w:autoRedefine/>
    <w:semiHidden/>
    <w:qFormat/>
    <w:uiPriority w:val="99"/>
    <w:rPr>
      <w:rFonts w:ascii="Times New Roman" w:hAnsi="Times New Roman"/>
      <w:kern w:val="2"/>
      <w:sz w:val="18"/>
      <w:szCs w:val="18"/>
    </w:rPr>
  </w:style>
  <w:style w:type="paragraph" w:customStyle="1" w:styleId="11">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896</Words>
  <Characters>920</Characters>
  <Lines>2</Lines>
  <Paragraphs>1</Paragraphs>
  <TotalTime>42</TotalTime>
  <ScaleCrop>false</ScaleCrop>
  <LinksUpToDate>false</LinksUpToDate>
  <CharactersWithSpaces>962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2022-06-16T08:59:00Z</dcterms:created>
  <dc:creator>xbany</dc:creator>
  <cp:lastModifiedBy>Administrator</cp:lastModifiedBy>
  <cp:lastPrinted>2025-04-08T08:51:00Z</cp:lastPrinted>
  <dcterms:modified xsi:type="dcterms:W3CDTF">2025-04-15T03:12:14Z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1B381363BA9D405CB61AD6835A38C30A_13</vt:lpwstr>
  </property>
  <property fmtid="{D5CDD505-2E9C-101B-9397-08002B2CF9AE}" pid="4" name="KSOTemplateDocerSaveRecord">
    <vt:lpwstr>eyJoZGlkIjoiYTBlMzQ5YzkxMzNmMjQ0ZTdhY2Q5MDQ1OWJkY2JmNmIifQ==</vt:lpwstr>
  </property>
</Properties>
</file>